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/>
          <w:b/>
          <w:bCs/>
          <w:sz w:val="32"/>
          <w:szCs w:val="40"/>
        </w:rPr>
      </w:pPr>
      <w:r>
        <w:rPr>
          <w:rFonts w:ascii="Times New Roman" w:hAnsi="Times New Roman"/>
          <w:sz w:val="28"/>
          <w:szCs w:val="36"/>
        </w:rPr>
        <w:t>2021年</w:t>
      </w:r>
      <w:r>
        <w:rPr>
          <w:rFonts w:hint="eastAsia" w:ascii="Times New Roman" w:hAnsi="Times New Roman"/>
          <w:sz w:val="28"/>
          <w:szCs w:val="36"/>
        </w:rPr>
        <w:t>山东省普通高中学业水平等级考试</w:t>
      </w:r>
      <w:r>
        <w:rPr>
          <w:rFonts w:ascii="Times New Roman" w:hAnsi="Times New Roman"/>
          <w:sz w:val="22"/>
          <w:szCs w:val="28"/>
        </w:rPr>
        <w:br w:type="textWrapping"/>
      </w:r>
      <w:r>
        <w:rPr>
          <w:rFonts w:hint="eastAsia" w:ascii="Times New Roman" w:hAnsi="Times New Roman"/>
          <w:b/>
          <w:bCs/>
          <w:sz w:val="32"/>
          <w:szCs w:val="40"/>
        </w:rPr>
        <w:t>地理</w:t>
      </w:r>
    </w:p>
    <w:p>
      <w:pPr>
        <w:pStyle w:val="4"/>
        <w:jc w:val="both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注意事项:</w:t>
      </w:r>
    </w:p>
    <w:p>
      <w:pPr>
        <w:pStyle w:val="4"/>
        <w:ind w:firstLine="480" w:firstLineChars="200"/>
        <w:jc w:val="both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="Times New Roman"/>
        </w:rPr>
        <w:t>答题前，考生务必将自己的姓名、准考证号写在答题卡和本试卷上</w:t>
      </w:r>
      <w:r>
        <w:rPr>
          <w:rFonts w:hint="eastAsia" w:ascii="Times New Roman" w:hAnsi="Times New Roman" w:cs="Times New Roman"/>
        </w:rPr>
        <w:t>。</w:t>
      </w:r>
    </w:p>
    <w:p>
      <w:pPr>
        <w:pStyle w:val="4"/>
        <w:ind w:firstLine="480" w:firstLineChars="200"/>
        <w:jc w:val="both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="Times New Roman"/>
        </w:rPr>
        <w:t>回答选择题时，选出每小题答案后，用铅笔把答题卡上对应题目的答案标号框涂黑。如需改动，用橡皮擦干净后，再选涂其它答案标号。回答非选择题时，将答案写在答题卡上。写在本试卷上无效。</w:t>
      </w:r>
    </w:p>
    <w:p>
      <w:pPr>
        <w:pStyle w:val="4"/>
        <w:ind w:firstLine="480" w:firstLineChars="200"/>
        <w:jc w:val="both"/>
        <w:textAlignment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 w:cs="Times New Roman"/>
        </w:rPr>
        <w:t>考试结束后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将本试卷和答题卡一并交回。</w:t>
      </w:r>
    </w:p>
    <w:p>
      <w:pPr>
        <w:spacing w:line="360" w:lineRule="auto"/>
        <w:ind w:left="482" w:hanging="482" w:hangingChars="200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一、选择题：本题共15小题，每小题3分，共45分。每小题只有一项是符合题目要求。</w:t>
      </w:r>
    </w:p>
    <w:p>
      <w:pPr>
        <w:spacing w:line="360" w:lineRule="auto"/>
        <w:ind w:firstLine="420" w:firstLineChars="20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20世纪90年代以来，长三角地区F村农民的主要收入来源经历了数次转变（表1）。近年来，该村每年都会吸引来自杭州、上海等地的老年人在此休闲居住，短则1个月，长达5个月。旺季时，该村外来老年人与本村村民的人数比例超过6：1，吸引周边村庄500余人就业。F村已成为远近闻名的休闲养老型村落。据此完成1～2题。</w:t>
      </w:r>
    </w:p>
    <w:p>
      <w:pPr>
        <w:widowControl/>
        <w:shd w:val="clear" w:color="auto" w:fill="FFFFFF"/>
        <w:spacing w:line="306" w:lineRule="atLeast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表1</w:t>
      </w:r>
    </w:p>
    <w:tbl>
      <w:tblPr>
        <w:tblStyle w:val="5"/>
        <w:tblW w:w="6236" w:type="dxa"/>
        <w:jc w:val="center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86"/>
        <w:gridCol w:w="4150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0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bookmarkStart w:id="0" w:name="_Hlk77531295"/>
            <w:r>
              <w:rPr>
                <w:rFonts w:hint="eastAsia" w:ascii="Times New Roman" w:hAnsi="Times New Roman"/>
              </w:rPr>
              <w:t>时间</w:t>
            </w:r>
          </w:p>
        </w:tc>
        <w:tc>
          <w:tcPr>
            <w:tcW w:w="415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F村农民的主要收入来源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20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1990年以前</w:t>
            </w:r>
          </w:p>
        </w:tc>
        <w:tc>
          <w:tcPr>
            <w:tcW w:w="415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木材、木柴、木炭等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0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1991～1997年</w:t>
            </w:r>
          </w:p>
        </w:tc>
        <w:tc>
          <w:tcPr>
            <w:tcW w:w="415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茶叶、笋干、山核桃等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20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1998～2009年</w:t>
            </w:r>
          </w:p>
        </w:tc>
        <w:tc>
          <w:tcPr>
            <w:tcW w:w="415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观光旅游型农家乐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2086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2010年至今</w:t>
            </w:r>
          </w:p>
        </w:tc>
        <w:tc>
          <w:tcPr>
            <w:tcW w:w="415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休闲养老旅游服务</w:t>
            </w:r>
          </w:p>
        </w:tc>
      </w:tr>
      <w:bookmarkEnd w:id="0"/>
    </w:tbl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1．</w:t>
      </w:r>
      <w:r>
        <w:rPr>
          <w:rFonts w:hint="eastAsia" w:ascii="Times New Roman" w:hAnsi="Times New Roman"/>
        </w:rPr>
        <w:t>F村产业向观光旅游型农家乐转变的主导因素是</w:t>
      </w:r>
    </w:p>
    <w:p>
      <w:pPr>
        <w:spacing w:line="360" w:lineRule="auto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政策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交通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市场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生态环境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休闲养老型村落的形成，可以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提高城镇化水平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解决都市养老难题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降低乡村生活成本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促进乡村文化繁荣</w:t>
      </w:r>
    </w:p>
    <w:p>
      <w:pPr>
        <w:spacing w:before="156" w:beforeLines="50" w:line="360" w:lineRule="auto"/>
        <w:ind w:firstLine="420" w:firstLineChars="20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敦煌莫高窟位于河西走廊西端，开凿在大泉河西岸第四级阶地的砂砾岩崖壁上（图1）。崖壁最高达50m，洞窟主要分布在10～40m高度之间，一般为2～3层。由于洞窟开凿和长期自然作用的影响，洞窟所在崖体出现大量裂隙。据此完成3～4题。</w:t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drawing>
          <wp:inline distT="0" distB="0" distL="0" distR="0">
            <wp:extent cx="3261995" cy="2153285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794" cy="21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图1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洞窟开凿在大泉河西岸崖壁，能够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降低开凿难度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减弱风沙侵蚀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减轻风化破坏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方便生活取水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4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与下层洞窟相比，对上层洞窟内壁画的破坏影响更大的因素是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构造运动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太阳辐射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大气降水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人类活动</w:t>
      </w:r>
    </w:p>
    <w:p>
      <w:pPr>
        <w:spacing w:before="156" w:beforeLines="50" w:line="360" w:lineRule="auto"/>
        <w:ind w:firstLine="420" w:firstLineChars="20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图2示意大兴安岭中段东坡自山顶到山麓洪积扇的植被垂直分布，图中三类草原水分状况不同。据此完成5～6题。</w:t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ascii="Times New Roman" w:hAnsi="Times New Roman" w:eastAsia="楷体"/>
        </w:rPr>
        <w:drawing>
          <wp:inline distT="0" distB="0" distL="0" distR="0">
            <wp:extent cx="2591435" cy="2340610"/>
            <wp:effectExtent l="0" t="0" r="0" b="254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504" cy="23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图</w:t>
      </w:r>
      <w:r>
        <w:rPr>
          <w:rFonts w:ascii="Times New Roman" w:hAnsi="Times New Roman" w:eastAsia="楷体"/>
        </w:rPr>
        <w:t>2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5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图中三类草原的水分条件由好到差依次为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草原Ⅱ、草原Ⅰ、草原Ⅲ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草原Ⅱ、草原Ⅲ、草原Ⅰ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草原Ⅲ、草原Ⅰ、草原Ⅱ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草原Ⅲ、草原Ⅱ、草原Ⅰ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6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平台到察尔森出现草原Ⅱ的主要影响因素是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东南季风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局地环流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山地坡度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土壤肥力</w:t>
      </w:r>
    </w:p>
    <w:p>
      <w:pPr>
        <w:spacing w:before="156" w:beforeLines="50" w:line="360" w:lineRule="auto"/>
        <w:ind w:firstLine="420" w:firstLineChars="20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图3示意我国某地级市2007～2019年户籍人口和常住人口的变化情况。读图完成7～9题。</w:t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ascii="Times New Roman" w:hAnsi="Times New Roman" w:eastAsia="楷体"/>
        </w:rPr>
        <w:drawing>
          <wp:inline distT="0" distB="0" distL="0" distR="0">
            <wp:extent cx="4286250" cy="2438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3521" cy="24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图</w:t>
      </w:r>
      <w:r>
        <w:rPr>
          <w:rFonts w:ascii="Times New Roman" w:hAnsi="Times New Roman" w:eastAsia="楷体"/>
        </w:rPr>
        <w:t>3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7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推测该市2016</w:t>
      </w:r>
      <w:r>
        <w:rPr>
          <w:rFonts w:hint="eastAsia" w:ascii="Times New Roman" w:hAnsi="Times New Roman" w:eastAsia="楷体"/>
        </w:rPr>
        <w:t>～</w:t>
      </w:r>
      <w:r>
        <w:rPr>
          <w:rFonts w:hint="eastAsia" w:ascii="Times New Roman" w:hAnsi="Times New Roman"/>
        </w:rPr>
        <w:t>2019年户籍人口变化的主要原因是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生育政策调整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落户政策放宽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医疗条件改善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行政区划变动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8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2010年后，该市常住人口变化缓慢，主要是由于当地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人口老龄化加剧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GDP增长缓慢           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环境承载力下降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产业结构优化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9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该市的支柱产业是</w:t>
      </w:r>
    </w:p>
    <w:p>
      <w:pPr>
        <w:spacing w:line="360" w:lineRule="auto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采矿业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旅游业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制造业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物流业</w:t>
      </w:r>
    </w:p>
    <w:p>
      <w:pPr>
        <w:spacing w:before="156" w:beforeLines="50" w:line="360" w:lineRule="auto"/>
        <w:ind w:firstLine="420" w:firstLineChars="20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刚果首都布拉柴维尔在老城区东北方向的滨河湿地规划建设新城。图4示意新城区的功能分区，其中住宅区规划为三个不同等级。0、P区的住宅设计为装配式木质建筑，Q区的住宅设计为钢筋混凝土建筑。据此完成10～11题。</w:t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ascii="Times New Roman" w:hAnsi="Times New Roman" w:eastAsia="楷体"/>
        </w:rPr>
        <w:drawing>
          <wp:inline distT="0" distB="0" distL="0" distR="0">
            <wp:extent cx="3330575" cy="287718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t="6651" r="6447" b="12276"/>
                    <a:stretch>
                      <a:fillRect/>
                    </a:stretch>
                  </pic:blipFill>
                  <pic:spPr>
                    <a:xfrm>
                      <a:off x="0" y="0"/>
                      <a:ext cx="3334333" cy="288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 w:firstLineChars="200"/>
        <w:jc w:val="center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图4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10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新城区内设计“串珠状”湖泊的首要目的是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改善市民居住环境        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提升土地商业价值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提供生产生活用水        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应对城市内涝灾害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11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0、P区的住宅设计成装配式木质建筑，主要是为了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降低成本           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提升品质           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隔热防潮           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生态环保</w:t>
      </w:r>
    </w:p>
    <w:p>
      <w:pPr>
        <w:widowControl/>
        <w:shd w:val="clear" w:color="auto" w:fill="FFFFFF"/>
        <w:spacing w:before="156" w:beforeLines="50" w:line="360" w:lineRule="auto"/>
        <w:ind w:firstLine="42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某日，小李在某地（110°E，40°N）广场游玩时，发现广场平面图中的指向标模糊不清（图5a），他通过观测广场石柱影子的长度和方向（图5b），确定了平面图的指向标。据此完成12～13题。</w:t>
      </w:r>
    </w:p>
    <w:p>
      <w:pPr>
        <w:widowControl/>
        <w:shd w:val="clear" w:color="auto" w:fill="FFFFFF"/>
        <w:spacing w:before="156" w:beforeLines="50" w:line="360" w:lineRule="auto"/>
        <w:ind w:firstLine="420"/>
        <w:jc w:val="right"/>
        <w:rPr>
          <w:rFonts w:ascii="Times New Roman" w:hAnsi="Times New Roman" w:eastAsia="楷体"/>
        </w:rPr>
      </w:pPr>
      <w:r>
        <w:rPr>
          <w:rFonts w:ascii="Times New Roman" w:hAnsi="Times New Roman" w:eastAsia="楷体"/>
        </w:rPr>
        <w:drawing>
          <wp:inline distT="0" distB="0" distL="0" distR="0">
            <wp:extent cx="4820285" cy="2479675"/>
            <wp:effectExtent l="0" t="0" r="0" b="0"/>
            <wp:docPr id="2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3253" cy="248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12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该广场平面图的指向标应该是图5c中的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①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②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④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13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一周后的相同时刻，小李再次测量发现该石柱的影长变长，则第二次观测日期可能在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2月16日前后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5月8日前后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8月20日前后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11月10日前后</w:t>
      </w:r>
    </w:p>
    <w:p>
      <w:pPr>
        <w:widowControl/>
        <w:shd w:val="clear" w:color="auto" w:fill="FFFFFF"/>
        <w:spacing w:before="156" w:beforeLines="50" w:line="360" w:lineRule="auto"/>
        <w:ind w:firstLine="420"/>
        <w:rPr>
          <w:rFonts w:ascii="Times New Roman" w:hAnsi="Times New Roman" w:eastAsia="楷体"/>
        </w:rPr>
      </w:pPr>
      <w:r>
        <w:rPr>
          <w:rFonts w:hint="eastAsia" w:ascii="Times New Roman" w:hAnsi="Times New Roman" w:eastAsia="楷体"/>
        </w:rPr>
        <w:t>“克拉香天气”出现在越南沿海地区，是一种持续时间较长的雾天伴随濛濛细雨的天气，这种天气在越南北部沿海比南部沿海出现的几率更大。图6示意克拉香天气出现时段的风向。据此完成14～15题。</w:t>
      </w:r>
    </w:p>
    <w:p>
      <w:pPr>
        <w:widowControl/>
        <w:shd w:val="clear" w:color="auto" w:fill="FFFFFF"/>
        <w:spacing w:before="156" w:beforeLines="50" w:line="360" w:lineRule="auto"/>
        <w:ind w:firstLine="420"/>
        <w:jc w:val="center"/>
        <w:rPr>
          <w:rFonts w:ascii="Times New Roman" w:hAnsi="Times New Roman" w:eastAsia="楷体"/>
        </w:rPr>
      </w:pPr>
      <w:r>
        <w:rPr>
          <w:rFonts w:ascii="Times New Roman" w:hAnsi="Times New Roman" w:eastAsia="楷体"/>
        </w:rPr>
        <w:drawing>
          <wp:inline distT="0" distB="0" distL="0" distR="0">
            <wp:extent cx="2046605" cy="3048000"/>
            <wp:effectExtent l="0" t="0" r="0" b="0"/>
            <wp:docPr id="2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0510" cy="305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14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越南北部沿海出现克拉香天气的几率更大，主要因为北部沿海比南部沿海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①风速小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②地面温度低       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③地势低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④空气湿度大</w:t>
      </w:r>
    </w:p>
    <w:p>
      <w:pPr>
        <w:spacing w:line="360" w:lineRule="auto"/>
        <w:ind w:left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①②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①③           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②</w:t>
      </w:r>
      <w:r>
        <w:rPr>
          <w:rFonts w:hint="eastAsia" w:ascii="宋体" w:hAnsi="宋体" w:cs="宋体"/>
          <w:lang w:eastAsia="ja-JP"/>
        </w:rPr>
        <w:t>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③④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15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克拉香天气易出现的时间段是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2～4月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5～7月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8～10月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hint="eastAsia" w:ascii="Times New Roman" w:hAnsi="Times New Roman"/>
        </w:rPr>
        <w:t>11～次年1月</w:t>
      </w:r>
    </w:p>
    <w:p>
      <w:pPr>
        <w:spacing w:before="156" w:beforeLines="50" w:line="360" w:lineRule="auto"/>
        <w:rPr>
          <w:rFonts w:ascii="黑体" w:hAnsi="黑体" w:eastAsia="黑体"/>
          <w:sz w:val="24"/>
          <w:szCs w:val="28"/>
        </w:rPr>
      </w:pPr>
      <w:r>
        <w:rPr>
          <w:rFonts w:hint="eastAsia" w:ascii="黑体" w:hAnsi="黑体" w:eastAsia="黑体"/>
          <w:sz w:val="24"/>
          <w:szCs w:val="28"/>
        </w:rPr>
        <w:t>二、非选择题：本题</w:t>
      </w:r>
      <w:r>
        <w:rPr>
          <w:rFonts w:ascii="黑体" w:hAnsi="黑体" w:eastAsia="黑体"/>
          <w:sz w:val="24"/>
          <w:szCs w:val="28"/>
        </w:rPr>
        <w:t>共</w:t>
      </w:r>
      <w:r>
        <w:rPr>
          <w:rFonts w:ascii="Times New Roman" w:hAnsi="Times New Roman" w:eastAsia="黑体"/>
          <w:sz w:val="24"/>
          <w:szCs w:val="28"/>
        </w:rPr>
        <w:t>4</w:t>
      </w:r>
      <w:r>
        <w:rPr>
          <w:rFonts w:hint="eastAsia" w:ascii="Times New Roman" w:hAnsi="Times New Roman" w:eastAsia="黑体"/>
          <w:sz w:val="24"/>
          <w:szCs w:val="28"/>
        </w:rPr>
        <w:t>小题，共5</w:t>
      </w:r>
      <w:r>
        <w:rPr>
          <w:rFonts w:ascii="Times New Roman" w:hAnsi="Times New Roman" w:eastAsia="黑体"/>
          <w:sz w:val="24"/>
          <w:szCs w:val="28"/>
        </w:rPr>
        <w:t>5</w:t>
      </w:r>
      <w:r>
        <w:rPr>
          <w:rFonts w:hint="eastAsia" w:ascii="Times New Roman" w:hAnsi="Times New Roman" w:eastAsia="黑体"/>
          <w:sz w:val="24"/>
          <w:szCs w:val="28"/>
        </w:rPr>
        <w:t>分。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8"/>
        </w:rPr>
        <w:t>．</w:t>
      </w:r>
      <w:r>
        <w:rPr>
          <w:rFonts w:ascii="宋体" w:hAnsi="宋体"/>
          <w:sz w:val="24"/>
          <w:szCs w:val="24"/>
        </w:rPr>
        <w:t>阅读图文材料，完成下列要求。(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宋体" w:hAnsi="宋体"/>
          <w:sz w:val="24"/>
          <w:szCs w:val="24"/>
        </w:rPr>
        <w:t>分)</w:t>
      </w:r>
    </w:p>
    <w:p>
      <w:pPr>
        <w:widowControl/>
        <w:shd w:val="clear" w:color="auto" w:fill="FFFFFF"/>
        <w:spacing w:line="360" w:lineRule="auto"/>
        <w:ind w:firstLine="42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“翻坝”运输是指来往的客船、集装箱船、汽车滚装船等船舶或运输紧急物资和鲜活食品的船舶，在候闸船舶过多的情况下，为避免花费较长时间候闸过坝，而采用的“水运→陆运→水运”或“水运→陆运”的转运方式。</w:t>
      </w:r>
    </w:p>
    <w:p>
      <w:pPr>
        <w:widowControl/>
        <w:shd w:val="clear" w:color="auto" w:fill="FFFFFF"/>
        <w:spacing w:line="360" w:lineRule="auto"/>
        <w:ind w:firstLine="42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作为三峡水利枢纽的重要组成部分，翻坝物流系统提高了三峡水利枢纽的通过能力。图7示意三峡翻坝物流系统，其中秭归三峡翻坝物流图（含茅坪港）属于货运枢纽型的港口物流园区（图8），是长江南岸三块翻坝物流转运的空间载体和依托。</w:t>
      </w:r>
    </w:p>
    <w:p>
      <w:pPr>
        <w:widowControl/>
        <w:shd w:val="clear" w:color="auto" w:fill="FFFFFF"/>
        <w:spacing w:line="360" w:lineRule="auto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4258945" cy="21494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3069" cy="215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（1）从航运角度分析三峡大坝建成后其上游物流量扩大的原因。（4分）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（2）说明与候闸过坝运输相比，三峡翻坝物流系统的优势。（6分）</w:t>
      </w:r>
    </w:p>
    <w:p>
      <w:pPr>
        <w:spacing w:before="156" w:beforeLines="50"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8"/>
        </w:rPr>
        <w:t>．</w:t>
      </w:r>
      <w:r>
        <w:rPr>
          <w:rFonts w:hint="eastAsia" w:ascii="Times New Roman" w:hAnsi="Times New Roman"/>
          <w:sz w:val="24"/>
          <w:szCs w:val="24"/>
        </w:rPr>
        <w:t>阅读图文资料，完成下列要求。（14分）</w:t>
      </w:r>
    </w:p>
    <w:p>
      <w:pPr>
        <w:widowControl/>
        <w:shd w:val="clear" w:color="auto" w:fill="FFFFFF"/>
        <w:spacing w:line="360" w:lineRule="auto"/>
        <w:ind w:firstLine="42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山西省大同市是中国大型煤炭能源基地之一，素有“煤都”之称。近年来，大同市多措并举，实现了从“煤都黑”到“大同蓝”的转型。在此过程中，大同市大力发展新能源，把太阳能、风能、煤炭资源富集优势转化为绿色产业优势，打造“新能源产业之都”，并积极融入京津冀协同发展。自2017年以来，大同市相继建设能源改革科技创新产业图和新能源产业城，培育和发展氢能与燃料电池先导、储能蓄能、新能源汽车装备制造、光伏全产业链和煤炭清洁高效利用五大产业集群。图9示意大同市新能源产业链。</w:t>
      </w:r>
    </w:p>
    <w:p>
      <w:pPr>
        <w:widowControl/>
        <w:shd w:val="clear" w:color="auto" w:fill="FFFFFF"/>
        <w:spacing w:line="360" w:lineRule="auto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158740" cy="2005965"/>
            <wp:effectExtent l="0" t="0" r="0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7259" cy="202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firstLine="42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图9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（1）指出与太阳能和风能相比，氢能的优点。（4分）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（2）分析发展新能源产业对大同市产业结构优化的作用。（6分）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（3）简述大同市打造“新能源产业之都”对京津冀地区的生态意义。（4分）</w:t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before="156" w:beforeLines="50"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8"/>
        </w:rPr>
        <w:t>．</w:t>
      </w:r>
      <w:r>
        <w:rPr>
          <w:rFonts w:hint="eastAsia" w:ascii="Times New Roman" w:hAnsi="Times New Roman"/>
          <w:sz w:val="24"/>
          <w:szCs w:val="24"/>
        </w:rPr>
        <w:t>阅读图文资料，完成下列要求。（16分）</w:t>
      </w:r>
    </w:p>
    <w:p>
      <w:pPr>
        <w:widowControl/>
        <w:shd w:val="clear" w:color="auto" w:fill="FFFFFF"/>
        <w:spacing w:line="360" w:lineRule="auto"/>
        <w:ind w:firstLine="42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海巴洛沟流域位于青藏高原东南缘，横断山脉中段（图10），面积53.4km</w:t>
      </w:r>
      <w:r>
        <w:rPr>
          <w:rFonts w:eastAsia="楷体" w:cs="Calibri"/>
        </w:rPr>
        <w:t>²</w:t>
      </w:r>
      <w:r>
        <w:rPr>
          <w:rFonts w:hint="eastAsia" w:ascii="楷体" w:hAnsi="楷体" w:eastAsia="楷体"/>
        </w:rPr>
        <w:t>。主沟发源于哈巴雪山西侧，汇入金沙江一级支流冲江河，长度12.8km。流域自上而下分为高山寒带峰脊区和宽谷区、温带窄谷区、亚热带低谷区。该流域降水量随海拔升高而显著增加，其中海拔4200m以上的峰脊区年降水量超过1100mm，2019年7月28日，峰脊区6小时降雨量达60.4mm，激发了特大规模降雨-冰川融水混合型泥石流。</w:t>
      </w:r>
    </w:p>
    <w:p>
      <w:pPr>
        <w:widowControl/>
        <w:shd w:val="clear" w:color="auto" w:fill="FFFFFF"/>
        <w:spacing w:line="360" w:lineRule="auto"/>
        <w:ind w:firstLine="420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4535170" cy="3279140"/>
            <wp:effectExtent l="0" t="0" r="0" b="0"/>
            <wp:docPr id="174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0358" cy="329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ind w:firstLine="420"/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图10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（1）指出海巴洛沟流域形成泥石流的四类固体物质来源。（4分）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（2）分析海巴洛沟流域主沟道AB段、BC段和CD段地形对泥石流形成的作用。（6分）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（3）分析海巴洛沟流域泥石流过当地构成严重威胁的自然原因。（6分）</w:t>
      </w:r>
    </w:p>
    <w:p>
      <w:pPr>
        <w:spacing w:line="360" w:lineRule="auto"/>
        <w:rPr>
          <w:rFonts w:ascii="Times New Roman" w:hAnsi="Times New Roman"/>
        </w:rPr>
      </w:pPr>
    </w:p>
    <w:p>
      <w:pPr>
        <w:spacing w:before="156" w:beforeLines="50" w:line="360" w:lineRule="auto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8"/>
        </w:rPr>
        <w:t>．</w:t>
      </w:r>
      <w:r>
        <w:rPr>
          <w:rFonts w:hint="eastAsia" w:ascii="Times New Roman" w:hAnsi="Times New Roman"/>
          <w:sz w:val="24"/>
          <w:szCs w:val="24"/>
        </w:rPr>
        <w:t>阅读图文资料，完成下列要求。（15分）</w:t>
      </w:r>
    </w:p>
    <w:p>
      <w:pPr>
        <w:widowControl/>
        <w:shd w:val="clear" w:color="auto" w:fill="FFFFFF"/>
        <w:spacing w:line="360" w:lineRule="auto"/>
        <w:ind w:firstLine="42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荷兰北部的马肯湖是围海造陆工程的遗留物，由人工堤坝与相邻水域隔开，水深仅2～4m，风浪较小（图11），长期以来，马肯湖淤积严重，水体浑浊，生态系统受到损害。2015年，荷兰政府决定采用人工群岛方案对湖泊进行治理。该方案提出利用疏浚淤泥、人工抛沙等技术，构建由沙坝、沼泽、浅滩、沟渠和植物等组成的人工岛（图12）。其中，沙坝是抵挡盛行风引起的风浪的主要屏障，沼泽是由湖底淤泥堆积而成。在风、波浪、地势高差和水流等自然力量驱动下，人工岛内外形成了弱环流。</w:t>
      </w:r>
    </w:p>
    <w:p>
      <w:pPr>
        <w:widowControl/>
        <w:shd w:val="clear" w:color="auto" w:fill="FFFFFF"/>
        <w:spacing w:line="360" w:lineRule="auto"/>
        <w:ind w:firstLine="420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4728845" cy="354012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6394" cy="3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（1）从图12中找出人工岛周边建造沙坝的合理位置，并在相应虚线框内填涂阴影。（3分）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（2）从抵御风浪的角度，分析与石质堤坝相比，沙坝所具有的优势。（4分）</w:t>
      </w:r>
    </w:p>
    <w:p>
      <w:pPr>
        <w:spacing w:line="360" w:lineRule="auto"/>
        <w:rPr>
          <w:rFonts w:ascii="宋体" w:hAnsi="宋体"/>
          <w:color w:val="4472C4" w:themeColor="accent1"/>
          <w:szCs w:val="21"/>
          <w14:textFill>
            <w14:solidFill>
              <w14:schemeClr w14:val="accent1"/>
            </w14:solidFill>
          </w14:textFill>
        </w:rPr>
      </w:pPr>
      <w:r>
        <w:rPr>
          <w:rFonts w:hint="eastAsia" w:ascii="Times New Roman" w:hAnsi="Times New Roman"/>
        </w:rPr>
        <w:t>（3）说明人工岛是如何实现马肯湖水环境质量改善的。（8分）</w:t>
      </w:r>
    </w:p>
    <w:p>
      <w:pPr>
        <w:spacing w:line="360" w:lineRule="auto"/>
        <w:rPr>
          <w:rFonts w:ascii="Times New Roman" w:hAnsi="Times New Roman"/>
        </w:rPr>
      </w:pPr>
    </w:p>
    <w:p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>
      <w:pPr>
        <w:jc w:val="center"/>
        <w:rPr>
          <w:b/>
          <w:bCs/>
          <w:color w:val="00B0F0"/>
        </w:rPr>
      </w:pPr>
      <w:r>
        <w:rPr>
          <w:rFonts w:hint="eastAsia"/>
          <w:b/>
          <w:bCs/>
          <w:color w:val="00B0F0"/>
          <w:sz w:val="32"/>
          <w:szCs w:val="36"/>
        </w:rPr>
        <w:t>【参考答案】</w:t>
      </w:r>
    </w:p>
    <w:p>
      <w:pPr>
        <w:rPr>
          <w:color w:val="00B0F0"/>
        </w:rPr>
      </w:pPr>
      <w:r>
        <w:rPr>
          <w:rFonts w:hint="eastAsia"/>
          <w:color w:val="00B0F0"/>
        </w:rPr>
        <w:t>1.C  2.D   3.B  4.C  5.C  6.B  7.B  8.D  9.C  10.D 11.A  12.B  13.C 14.A  15.A</w:t>
      </w:r>
    </w:p>
    <w:p>
      <w:pPr>
        <w:rPr>
          <w:color w:val="00B0F0"/>
        </w:rPr>
      </w:pPr>
      <w:r>
        <w:rPr>
          <w:rFonts w:hint="eastAsia"/>
          <w:color w:val="00B0F0"/>
        </w:rPr>
        <w:t>16. （1）水域面积扩大，水深增加，通航里程增加，通航能力增强（航道条件改善）；港口规模扩大，数量增加，港口腹地扩大。</w:t>
      </w:r>
    </w:p>
    <w:p>
      <w:pPr>
        <w:rPr>
          <w:color w:val="00B0F0"/>
        </w:rPr>
      </w:pPr>
      <w:r>
        <w:rPr>
          <w:rFonts w:hint="eastAsia"/>
          <w:color w:val="00B0F0"/>
        </w:rPr>
        <w:t>（2）通过与公路、铁路、管道的连接，实现了多种交通运输方式的联运，运输方式灵活；缩短物流时间，提高运输效率；通过秭归翻坝物流产业园，实现对货物仓储、加工和贸易，延长物流产业链。</w:t>
      </w:r>
    </w:p>
    <w:p>
      <w:pPr>
        <w:rPr>
          <w:color w:val="00B0F0"/>
        </w:rPr>
      </w:pPr>
      <w:r>
        <w:rPr>
          <w:rFonts w:hint="eastAsia"/>
          <w:color w:val="00B0F0"/>
        </w:rPr>
        <w:t>17.（1）氢能生产受时空限制小；利用方式灵活多样。</w:t>
      </w:r>
    </w:p>
    <w:p>
      <w:pPr>
        <w:rPr>
          <w:color w:val="00B0F0"/>
        </w:rPr>
      </w:pPr>
      <w:r>
        <w:rPr>
          <w:rFonts w:hint="eastAsia"/>
          <w:color w:val="00B0F0"/>
        </w:rPr>
        <w:t>（2）改变以煤为主的产业结构，构建以新能源为基础的产业体系，促进产业结构多元化；有利于提高研发能力，带动产业创新，促进高新技术产业发展（促进产业结构升级）；提高清洁能源使用比例，促使产业向低碳、绿色、可循环方向发展。</w:t>
      </w:r>
    </w:p>
    <w:p>
      <w:pPr>
        <w:rPr>
          <w:color w:val="00B0F0"/>
        </w:rPr>
      </w:pPr>
      <w:r>
        <w:rPr>
          <w:rFonts w:hint="eastAsia"/>
          <w:color w:val="00B0F0"/>
        </w:rPr>
        <w:t>（3）为京津冀地区提供清洁能源（新能源），助力其生态环境的改善；巩固“大同蓝”，持续改善大同市的环境质量，为京津冀的生态安全提供保障。</w:t>
      </w:r>
    </w:p>
    <w:p>
      <w:pPr>
        <w:rPr>
          <w:color w:val="00B0F0"/>
        </w:rPr>
      </w:pPr>
      <w:r>
        <w:rPr>
          <w:rFonts w:hint="eastAsia"/>
          <w:color w:val="00B0F0"/>
        </w:rPr>
        <w:t>18.（1）冰碛物（冰川搬运堆积物）；崩滑体堆积物；风化碎屑物；断层破碎物。</w:t>
      </w:r>
    </w:p>
    <w:p>
      <w:pPr>
        <w:rPr>
          <w:color w:val="00B0F0"/>
        </w:rPr>
      </w:pPr>
      <w:r>
        <w:rPr>
          <w:rFonts w:hint="eastAsia"/>
          <w:color w:val="00B0F0"/>
        </w:rPr>
        <w:t>（2）AB段：地形陡峻，易发生崩塌，且径流汇流速度快，为泥石流形成提供物质和水动力条件；BC段：地形较和缓开阔，为大量松散固体物质积累提供场所；CD段：沟道狭窄顺直、坡度大，加快泥石流的通过时间。</w:t>
      </w:r>
    </w:p>
    <w:p>
      <w:pPr>
        <w:rPr>
          <w:color w:val="00B0F0"/>
        </w:rPr>
      </w:pPr>
      <w:r>
        <w:rPr>
          <w:rFonts w:hint="eastAsia"/>
          <w:color w:val="00B0F0"/>
        </w:rPr>
        <w:t>（3）丰富的松散固体物源和水源条件，导致泥石流易发；泥石流运动速度快，规模大，冲击力强；峰脊区降水量大，并叠加积雪融水，使得泥石流多发育在高海拔地区，下游不易察觉，隐蔽性强。</w:t>
      </w:r>
    </w:p>
    <w:p>
      <w:pPr>
        <w:rPr>
          <w:color w:val="00B0F0"/>
        </w:rPr>
      </w:pPr>
      <w:r>
        <w:rPr>
          <w:color w:val="00B0F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353695</wp:posOffset>
            </wp:positionV>
            <wp:extent cx="1725295" cy="2111375"/>
            <wp:effectExtent l="0" t="0" r="825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386" cy="21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B0F0"/>
        </w:rPr>
        <w:t>19.（1）答对1个得1分，答对2个得2分，答对3个得3分；错答、多答不得分。</w:t>
      </w:r>
    </w:p>
    <w:p>
      <w:pPr>
        <w:rPr>
          <w:color w:val="00B0F0"/>
        </w:rPr>
      </w:pPr>
      <w:r>
        <w:rPr>
          <w:rFonts w:hint="eastAsia"/>
          <w:color w:val="00B0F0"/>
        </w:rPr>
        <w:t>（2）沙坝疏松多孔，并可以生长植物，消能作用更强，能更有效的降低风浪速度；能吸附、固定悬浮物，可以自我修复或扩大规模，持续抵御风浪。</w:t>
      </w:r>
    </w:p>
    <w:p>
      <w:pPr>
        <w:rPr>
          <w:color w:val="00B0F0"/>
        </w:rPr>
      </w:pPr>
      <w:r>
        <w:rPr>
          <w:rFonts w:hint="eastAsia"/>
          <w:color w:val="00B0F0"/>
        </w:rPr>
        <w:t>（3）在风与地势高差的驱动下，湖水从各个方向流入人工岛，并沿沟渠、沼泽、浅滩缓慢流动，水中的悬浮物逐渐沉积下来；岛内营造的地势高差，使大气降水经斜坡汇集到雨水蓄积区，改善了岛内水环境；岛内水环境的改善有利于水生生物的生长，水生生物进一步截留、吸附悬浮物；净化后的水体通过人工岛内外的水体交换进入马肯湖，改善了马肯湖水环境质量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00736809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pStyle w:val="2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1" w:name="_GoBack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yNGY4NWRmYmY3OGM3ZmY2YjA5NzYwMWYwNDFiMTgifQ=="/>
  </w:docVars>
  <w:rsids>
    <w:rsidRoot w:val="0039348D"/>
    <w:rsid w:val="0001344C"/>
    <w:rsid w:val="000635B6"/>
    <w:rsid w:val="000655A4"/>
    <w:rsid w:val="000668A3"/>
    <w:rsid w:val="0007045E"/>
    <w:rsid w:val="00072A1E"/>
    <w:rsid w:val="000C66D6"/>
    <w:rsid w:val="001300CF"/>
    <w:rsid w:val="001364F0"/>
    <w:rsid w:val="001650B4"/>
    <w:rsid w:val="001710B0"/>
    <w:rsid w:val="001B5F2E"/>
    <w:rsid w:val="001C5F96"/>
    <w:rsid w:val="001D5012"/>
    <w:rsid w:val="001E3EDA"/>
    <w:rsid w:val="001F6295"/>
    <w:rsid w:val="002129CF"/>
    <w:rsid w:val="00285CA2"/>
    <w:rsid w:val="0029449F"/>
    <w:rsid w:val="002B0AAE"/>
    <w:rsid w:val="002D388C"/>
    <w:rsid w:val="002F4B81"/>
    <w:rsid w:val="003157F2"/>
    <w:rsid w:val="00331AE0"/>
    <w:rsid w:val="00352DAF"/>
    <w:rsid w:val="0036200E"/>
    <w:rsid w:val="003846A1"/>
    <w:rsid w:val="0039348D"/>
    <w:rsid w:val="003B4151"/>
    <w:rsid w:val="003B629D"/>
    <w:rsid w:val="003C1A3C"/>
    <w:rsid w:val="003D1CDD"/>
    <w:rsid w:val="003F4472"/>
    <w:rsid w:val="004117FB"/>
    <w:rsid w:val="00446DF7"/>
    <w:rsid w:val="00476A26"/>
    <w:rsid w:val="00495AD6"/>
    <w:rsid w:val="004B6852"/>
    <w:rsid w:val="004D0682"/>
    <w:rsid w:val="004F2880"/>
    <w:rsid w:val="004F564C"/>
    <w:rsid w:val="00545397"/>
    <w:rsid w:val="00561915"/>
    <w:rsid w:val="005850DB"/>
    <w:rsid w:val="005C0705"/>
    <w:rsid w:val="005D65AE"/>
    <w:rsid w:val="0063348A"/>
    <w:rsid w:val="006616E6"/>
    <w:rsid w:val="006B7D73"/>
    <w:rsid w:val="006E4FFF"/>
    <w:rsid w:val="006F1A9B"/>
    <w:rsid w:val="00745118"/>
    <w:rsid w:val="0078450A"/>
    <w:rsid w:val="007A3E4B"/>
    <w:rsid w:val="007B33A5"/>
    <w:rsid w:val="007D3B41"/>
    <w:rsid w:val="007F6073"/>
    <w:rsid w:val="008156AC"/>
    <w:rsid w:val="008370E2"/>
    <w:rsid w:val="008809D9"/>
    <w:rsid w:val="00944EAF"/>
    <w:rsid w:val="00960A52"/>
    <w:rsid w:val="009742BD"/>
    <w:rsid w:val="0099356C"/>
    <w:rsid w:val="009966D0"/>
    <w:rsid w:val="009C7A70"/>
    <w:rsid w:val="009E37D8"/>
    <w:rsid w:val="009F5A2D"/>
    <w:rsid w:val="00A45B9B"/>
    <w:rsid w:val="00A54AE8"/>
    <w:rsid w:val="00A5507B"/>
    <w:rsid w:val="00A74CC5"/>
    <w:rsid w:val="00A82F3D"/>
    <w:rsid w:val="00A84C25"/>
    <w:rsid w:val="00AA6261"/>
    <w:rsid w:val="00B26557"/>
    <w:rsid w:val="00B94586"/>
    <w:rsid w:val="00BA45A7"/>
    <w:rsid w:val="00C06DFC"/>
    <w:rsid w:val="00C31586"/>
    <w:rsid w:val="00C42AD9"/>
    <w:rsid w:val="00C8040E"/>
    <w:rsid w:val="00C93F88"/>
    <w:rsid w:val="00CC62FA"/>
    <w:rsid w:val="00CC68C1"/>
    <w:rsid w:val="00CE2C7C"/>
    <w:rsid w:val="00CE4735"/>
    <w:rsid w:val="00CE6869"/>
    <w:rsid w:val="00CE79C0"/>
    <w:rsid w:val="00CF5A88"/>
    <w:rsid w:val="00CF7635"/>
    <w:rsid w:val="00D105CC"/>
    <w:rsid w:val="00D406A0"/>
    <w:rsid w:val="00D42C14"/>
    <w:rsid w:val="00D603F2"/>
    <w:rsid w:val="00D86CED"/>
    <w:rsid w:val="00D903F8"/>
    <w:rsid w:val="00DA63DE"/>
    <w:rsid w:val="00DC10FB"/>
    <w:rsid w:val="00DC4A8A"/>
    <w:rsid w:val="00DC68E3"/>
    <w:rsid w:val="00E9407C"/>
    <w:rsid w:val="00E96412"/>
    <w:rsid w:val="00EF2DCF"/>
    <w:rsid w:val="00F26780"/>
    <w:rsid w:val="00F50FC2"/>
    <w:rsid w:val="00F64DAE"/>
    <w:rsid w:val="00F67388"/>
    <w:rsid w:val="00FA5EE0"/>
    <w:rsid w:val="00FA6681"/>
    <w:rsid w:val="00FB0BB7"/>
    <w:rsid w:val="51071635"/>
    <w:rsid w:val="5D72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30" w:after="30" w:line="300" w:lineRule="auto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7">
    <w:name w:val="页脚 字符"/>
    <w:basedOn w:val="6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8">
    <w:name w:val="页脚 字符1"/>
    <w:link w:val="2"/>
    <w:uiPriority w:val="0"/>
    <w:rPr>
      <w:rFonts w:ascii="Calibri" w:hAnsi="Calibri" w:eastAsia="宋体" w:cs="Times New Roman"/>
      <w:sz w:val="18"/>
      <w:szCs w:val="18"/>
      <w:lang w:val="zh-CN" w:eastAsia="zh-CN"/>
    </w:rPr>
  </w:style>
  <w:style w:type="character" w:customStyle="1" w:styleId="9">
    <w:name w:val="页眉 字符"/>
    <w:basedOn w:val="6"/>
    <w:link w:val="3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emf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1C64D-8231-43B3-A4E3-F7394A690A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3804</Words>
  <Characters>3978</Characters>
  <Lines>31</Lines>
  <Paragraphs>8</Paragraphs>
  <TotalTime>0</TotalTime>
  <ScaleCrop>false</ScaleCrop>
  <LinksUpToDate>false</LinksUpToDate>
  <CharactersWithSpaces>4199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2021-06-08T02:12:00Z</dcterms:created>
  <dc:creator>Administrator</dc:creator>
  <cp:lastModifiedBy>zhanghoufu</cp:lastModifiedBy>
  <cp:lastPrinted>2021-06-08T06:48:00Z</cp:lastPrinted>
  <dcterms:modified xsi:type="dcterms:W3CDTF">2022-05-25T00:31:44Z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7D2F5C4F2FE94F19A7560A123DE315A7</vt:lpwstr>
  </property>
</Properties>
</file>