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Pr>
      <w:r>
        <w:rPr>
          <w:rFonts w:hint="eastAsia" w:ascii="Times New Roman" w:hAnsi="Times New Roman" w:eastAsia="Times New Roman" w:cs="Times New Roman"/>
          <w:lang w:val="zh-CN" w:eastAsia="zh-CN" w:bidi="zh-CN"/>
        </w:rPr>
        <w:t>2021届江苏省徐州市高二下学期期末历史抽测试题</w:t>
      </w:r>
    </w:p>
    <w:p>
      <w:pPr>
        <w:pStyle w:val="12"/>
        <w:pBdr>
          <w:top w:val="single" w:color="auto" w:sz="4" w:space="0"/>
          <w:left w:val="single" w:color="auto" w:sz="4" w:space="0"/>
          <w:bottom w:val="single" w:color="auto" w:sz="4" w:space="0"/>
          <w:right w:val="single" w:color="auto" w:sz="4" w:space="0"/>
        </w:pBdr>
        <w:spacing w:after="140" w:line="424" w:lineRule="exact"/>
        <w:ind w:firstLine="0"/>
        <w:jc w:val="center"/>
      </w:pPr>
      <w:r>
        <w:rPr>
          <w:b/>
          <w:bCs/>
        </w:rPr>
        <w:t>注意事项</w:t>
      </w:r>
    </w:p>
    <w:p>
      <w:pPr>
        <w:pStyle w:val="12"/>
        <w:pBdr>
          <w:top w:val="single" w:color="auto" w:sz="4" w:space="0"/>
          <w:left w:val="single" w:color="auto" w:sz="4" w:space="0"/>
          <w:bottom w:val="single" w:color="auto" w:sz="4" w:space="0"/>
          <w:right w:val="single" w:color="auto" w:sz="4" w:space="0"/>
        </w:pBdr>
        <w:tabs>
          <w:tab w:val="left" w:pos="6358"/>
        </w:tabs>
        <w:spacing w:line="240" w:lineRule="auto"/>
        <w:ind w:firstLine="380"/>
      </w:pPr>
      <w:r>
        <w:rPr>
          <w:b/>
          <w:bCs/>
        </w:rPr>
        <w:t>考生在答薩前请认真阅读本注意事项及各题答题要求</w:t>
      </w:r>
      <w:r>
        <w:rPr>
          <w:b/>
          <w:bCs/>
        </w:rPr>
        <w:tab/>
      </w:r>
      <w:r>
        <w:rPr>
          <w:b/>
          <w:bCs/>
          <w:color w:val="85736E"/>
        </w:rPr>
        <w:t>「</w:t>
      </w:r>
    </w:p>
    <w:p>
      <w:pPr>
        <w:pStyle w:val="12"/>
        <w:numPr>
          <w:ilvl w:val="0"/>
          <w:numId w:val="1"/>
        </w:numPr>
        <w:pBdr>
          <w:top w:val="single" w:color="auto" w:sz="4" w:space="0"/>
          <w:left w:val="single" w:color="auto" w:sz="4" w:space="0"/>
          <w:bottom w:val="single" w:color="auto" w:sz="4" w:space="0"/>
          <w:right w:val="single" w:color="auto" w:sz="4" w:space="0"/>
        </w:pBdr>
        <w:tabs>
          <w:tab w:val="left" w:pos="354"/>
        </w:tabs>
        <w:spacing w:line="486" w:lineRule="exact"/>
        <w:ind w:left="320" w:hanging="320"/>
      </w:pPr>
      <w:bookmarkStart w:id="0" w:name="bookmark3"/>
      <w:bookmarkEnd w:id="0"/>
      <w:r>
        <w:t>本试卷共6页，满分为100分,考试时间为75分钟。考试结束后，请将本试卷和答题卡</w:t>
      </w:r>
      <w:r>
        <w:rPr>
          <w:rFonts w:hint="eastAsia"/>
          <w:lang w:val="en-US" w:eastAsia="zh-CN"/>
        </w:rPr>
        <w:t>一</w:t>
      </w:r>
      <w:r>
        <w:t>并交回。</w:t>
      </w:r>
    </w:p>
    <w:p>
      <w:pPr>
        <w:pStyle w:val="12"/>
        <w:numPr>
          <w:ilvl w:val="0"/>
          <w:numId w:val="1"/>
        </w:numPr>
        <w:pBdr>
          <w:top w:val="single" w:color="auto" w:sz="4" w:space="0"/>
          <w:left w:val="single" w:color="auto" w:sz="4" w:space="0"/>
          <w:bottom w:val="single" w:color="auto" w:sz="4" w:space="0"/>
          <w:right w:val="single" w:color="auto" w:sz="4" w:space="0"/>
        </w:pBdr>
        <w:tabs>
          <w:tab w:val="left" w:pos="383"/>
        </w:tabs>
        <w:spacing w:line="448" w:lineRule="exact"/>
        <w:ind w:left="380" w:hanging="380"/>
      </w:pPr>
      <w:bookmarkStart w:id="1" w:name="bookmark4"/>
      <w:bookmarkEnd w:id="1"/>
      <w:r>
        <w:t>答题前，请务必将自己的姓名、准考证号用</w:t>
      </w:r>
      <w:r>
        <w:rPr>
          <w:lang w:val="en-US" w:eastAsia="en-US" w:bidi="en-US"/>
        </w:rPr>
        <w:t xml:space="preserve">0. </w:t>
      </w:r>
      <w:r>
        <w:t>5毫米黑色墨水的签字笔填写在试卷及答题卡 的规定位置。</w:t>
      </w:r>
    </w:p>
    <w:p>
      <w:pPr>
        <w:pStyle w:val="12"/>
        <w:numPr>
          <w:ilvl w:val="0"/>
          <w:numId w:val="1"/>
        </w:numPr>
        <w:pBdr>
          <w:top w:val="single" w:color="auto" w:sz="4" w:space="0"/>
          <w:left w:val="single" w:color="auto" w:sz="4" w:space="0"/>
          <w:bottom w:val="single" w:color="auto" w:sz="4" w:space="0"/>
          <w:right w:val="single" w:color="auto" w:sz="4" w:space="0"/>
        </w:pBdr>
        <w:tabs>
          <w:tab w:val="left" w:pos="383"/>
        </w:tabs>
        <w:spacing w:line="400" w:lineRule="exact"/>
        <w:ind w:firstLine="0"/>
      </w:pPr>
      <w:bookmarkStart w:id="2" w:name="bookmark5"/>
      <w:bookmarkEnd w:id="2"/>
      <w:r>
        <w:t>请认真核对监考员在答题卡上所粘贴的条形码上的姓名、准考证号与本人是否相符。</w:t>
      </w:r>
    </w:p>
    <w:p>
      <w:pPr>
        <w:pStyle w:val="12"/>
        <w:pBdr>
          <w:top w:val="single" w:color="auto" w:sz="4" w:space="0"/>
          <w:left w:val="single" w:color="auto" w:sz="4" w:space="0"/>
          <w:bottom w:val="single" w:color="auto" w:sz="4" w:space="0"/>
          <w:right w:val="single" w:color="auto" w:sz="4" w:space="0"/>
        </w:pBdr>
        <w:tabs>
          <w:tab w:val="left" w:pos="569"/>
        </w:tabs>
        <w:spacing w:after="300" w:line="400" w:lineRule="exact"/>
        <w:ind w:firstLine="0"/>
      </w:pPr>
      <w:bookmarkStart w:id="3" w:name="bookmark6"/>
      <w:bookmarkEnd w:id="3"/>
      <w:r>
        <w:rPr>
          <w:rFonts w:hint="eastAsia"/>
          <w:lang w:val="en-US" w:eastAsia="zh-CN"/>
        </w:rPr>
        <w:t>4.</w:t>
      </w:r>
      <w:r>
        <w:t>作答选择题，必须用</w:t>
      </w:r>
      <w:r>
        <w:rPr>
          <w:lang w:val="en-US" w:eastAsia="en-US" w:bidi="en-US"/>
        </w:rPr>
        <w:t>2B</w:t>
      </w:r>
      <w:r>
        <w:t>铅笔将答题卡上对应选项的方框涂满、涂黑；如需改动，请用橡皮擦干净后，再选涂其他答案。作答非选择题，必须用</w:t>
      </w:r>
      <w:r>
        <w:rPr>
          <w:lang w:val="en-US" w:eastAsia="en-US" w:bidi="en-US"/>
        </w:rPr>
        <w:t xml:space="preserve">0. </w:t>
      </w:r>
      <w:r>
        <w:t>5毫米黑色墨水的签字笔在答题卡上的指定位置作答，在其他位置作答一律无效。</w:t>
      </w:r>
    </w:p>
    <w:p>
      <w:pPr>
        <w:pStyle w:val="12"/>
        <w:spacing w:line="240" w:lineRule="auto"/>
        <w:ind w:firstLine="0"/>
      </w:pPr>
      <w:r>
        <w:t>一、选择题：共15题，每题3分，共45分。在每题列出的四个选项</w:t>
      </w:r>
      <w:r>
        <w:rPr>
          <w:lang w:val="zh-CN" w:eastAsia="zh-CN" w:bidi="zh-CN"/>
        </w:rPr>
        <w:t>中,</w:t>
      </w:r>
      <w:r>
        <w:t>只有一项最符合题目要求。</w:t>
      </w:r>
    </w:p>
    <w:p>
      <w:pPr>
        <w:pStyle w:val="12"/>
        <w:numPr>
          <w:ilvl w:val="0"/>
          <w:numId w:val="2"/>
        </w:numPr>
        <w:tabs>
          <w:tab w:val="left" w:pos="359"/>
        </w:tabs>
        <w:spacing w:line="419" w:lineRule="exact"/>
        <w:ind w:firstLine="0"/>
      </w:pPr>
      <w:bookmarkStart w:id="4" w:name="bookmark7"/>
      <w:bookmarkEnd w:id="4"/>
      <w:r>
        <w:t>据统计，考古人员在河南、河北、江西、陕西等七省三十多个地点发现近</w:t>
      </w:r>
      <w:r>
        <w:rPr>
          <w:lang w:val="zh-CN" w:eastAsia="zh-CN" w:bidi="zh-CN"/>
        </w:rPr>
        <w:t>二百</w:t>
      </w:r>
      <w:r>
        <w:t>件商周时期的青铜农具，包括开垦土地、中耕除草、收割庄稼等农业生产全过程所必需的农具，相当部分农具有明显的使用痕迹。这反映出</w:t>
      </w:r>
      <w:r>
        <w:tab/>
      </w:r>
    </w:p>
    <w:p>
      <w:pPr>
        <w:pStyle w:val="12"/>
        <w:tabs>
          <w:tab w:val="left" w:pos="5104"/>
        </w:tabs>
        <w:spacing w:line="419" w:lineRule="exact"/>
        <w:ind w:firstLine="240" w:firstLineChars="100"/>
      </w:pPr>
      <w:bookmarkStart w:id="5" w:name="bookmark8"/>
      <w:bookmarkEnd w:id="5"/>
      <w:r>
        <w:rPr>
          <w:rFonts w:hint="eastAsia"/>
          <w:lang w:val="en-US" w:eastAsia="zh-CN"/>
        </w:rPr>
        <w:t>A.</w:t>
      </w:r>
      <w:r>
        <w:t>青铜农具出现于商周时期</w:t>
      </w:r>
      <w:r>
        <w:tab/>
      </w:r>
      <w:r>
        <w:rPr>
          <w:lang w:val="en-US" w:eastAsia="en-US" w:bidi="en-US"/>
        </w:rPr>
        <w:t>B.</w:t>
      </w:r>
      <w:r>
        <w:t>成套青铜农具有利</w:t>
      </w:r>
      <w:r>
        <w:rPr>
          <w:rFonts w:hint="eastAsia"/>
          <w:lang w:val="en-US" w:eastAsia="zh-CN"/>
        </w:rPr>
        <w:t>于</w:t>
      </w:r>
      <w:r>
        <w:t>精耕细作</w:t>
      </w:r>
    </w:p>
    <w:p>
      <w:pPr>
        <w:pStyle w:val="12"/>
        <w:tabs>
          <w:tab w:val="left" w:pos="5104"/>
        </w:tabs>
        <w:spacing w:line="419" w:lineRule="exact"/>
        <w:ind w:firstLine="320"/>
      </w:pPr>
      <w:r>
        <w:rPr>
          <w:lang w:val="en-US" w:eastAsia="en-US" w:bidi="en-US"/>
        </w:rPr>
        <w:t>C.</w:t>
      </w:r>
      <w:r>
        <w:t>青铜农具已用于农业生产,,</w:t>
      </w:r>
      <w:r>
        <w:tab/>
      </w:r>
      <w:r>
        <w:rPr>
          <w:lang w:val="en-US" w:eastAsia="en-US" w:bidi="en-US"/>
        </w:rPr>
        <w:t>D.</w:t>
      </w:r>
      <w:r>
        <w:t>青铜农具提高了小农经济效率</w:t>
      </w:r>
    </w:p>
    <w:p>
      <w:pPr>
        <w:pStyle w:val="12"/>
        <w:numPr>
          <w:ilvl w:val="0"/>
          <w:numId w:val="2"/>
        </w:numPr>
        <w:tabs>
          <w:tab w:val="left" w:pos="373"/>
        </w:tabs>
        <w:spacing w:line="443" w:lineRule="exact"/>
        <w:ind w:left="320" w:hanging="320"/>
        <w:jc w:val="both"/>
      </w:pPr>
      <w:bookmarkStart w:id="6" w:name="bookmark9"/>
      <w:bookmarkEnd w:id="6"/>
      <w:r>
        <w:t>春秋时孔子指出“不凭灾异以言人事，不假天道以言人道”。西汉时董仲舒提出</w:t>
      </w:r>
      <w:r>
        <w:rPr>
          <w:lang w:val="zh-CN" w:eastAsia="zh-CN" w:bidi="zh-CN"/>
        </w:rPr>
        <w:t>“刑</w:t>
      </w:r>
      <w:r>
        <w:t>罚不中，则生邪气；上下不和，则阴阳缪</w:t>
      </w:r>
      <w:r>
        <w:rPr>
          <w:rFonts w:ascii="Arial" w:hAnsi="Arial" w:cs="Arial"/>
          <w:color w:val="333333"/>
          <w:shd w:val="clear" w:color="auto" w:fill="FFFFFF"/>
        </w:rPr>
        <w:t>盭</w:t>
      </w:r>
      <w:r>
        <w:t>（错乱连背）而妖孽生矣。此灾异所缘而起也</w:t>
      </w:r>
      <w:r>
        <w:rPr>
          <w:lang w:val="zh-CN" w:eastAsia="zh-CN" w:bidi="zh-CN"/>
        </w:rPr>
        <w:t>。”这</w:t>
      </w:r>
      <w:r>
        <w:t>一变化</w:t>
      </w:r>
    </w:p>
    <w:p>
      <w:pPr>
        <w:pStyle w:val="12"/>
        <w:tabs>
          <w:tab w:val="left" w:pos="5104"/>
          <w:tab w:val="left" w:pos="9090"/>
        </w:tabs>
        <w:spacing w:line="429" w:lineRule="exact"/>
        <w:ind w:firstLine="420" w:firstLineChars="175"/>
      </w:pPr>
      <w:r>
        <w:rPr>
          <w:lang w:val="en-US" w:eastAsia="en-US" w:bidi="en-US"/>
        </w:rPr>
        <w:t>A.</w:t>
      </w:r>
      <w:r>
        <w:t>反映了儒学对世界认识的提高</w:t>
      </w:r>
      <w:r>
        <w:rPr>
          <w:rFonts w:hint="eastAsia"/>
          <w:lang w:val="en-US" w:eastAsia="zh-CN"/>
        </w:rPr>
        <w:t xml:space="preserve">          </w:t>
      </w:r>
      <w:r>
        <w:rPr>
          <w:lang w:val="en-US" w:eastAsia="en-US" w:bidi="en-US"/>
        </w:rPr>
        <w:t>B</w:t>
      </w:r>
      <w:r>
        <w:rPr>
          <w:rFonts w:hint="eastAsia"/>
          <w:lang w:val="en-US" w:eastAsia="zh-CN" w:bidi="en-US"/>
        </w:rPr>
        <w:t>.</w:t>
      </w:r>
      <w:r>
        <w:t>适应了维护国家</w:t>
      </w:r>
      <w:r>
        <w:rPr>
          <w:rFonts w:hint="eastAsia"/>
          <w:lang w:val="en-US" w:eastAsia="zh-CN"/>
        </w:rPr>
        <w:t>统一</w:t>
      </w:r>
      <w:r>
        <w:t>的一要</w:t>
      </w:r>
      <w:r>
        <w:rPr>
          <w:rFonts w:hint="eastAsia"/>
          <w:lang w:val="en-US" w:eastAsia="zh-CN"/>
        </w:rPr>
        <w:t>求</w:t>
      </w:r>
      <w:r>
        <w:tab/>
      </w:r>
      <w:r>
        <w:rPr>
          <w:vertAlign w:val="superscript"/>
        </w:rPr>
        <w:t>! ：</w:t>
      </w:r>
    </w:p>
    <w:p>
      <w:pPr>
        <w:pStyle w:val="12"/>
        <w:tabs>
          <w:tab w:val="left" w:pos="4520"/>
        </w:tabs>
        <w:spacing w:line="429" w:lineRule="exact"/>
        <w:ind w:firstLine="320"/>
      </w:pPr>
      <w:r>
        <w:rPr>
          <w:lang w:val="en-US" w:eastAsia="en-US" w:bidi="en-US"/>
        </w:rPr>
        <w:t>C.</w:t>
      </w:r>
      <w:r>
        <w:t>体现了儒学对佛老思想的吸收</w:t>
      </w:r>
      <w:r>
        <w:tab/>
      </w:r>
      <w:r>
        <w:rPr>
          <w:rFonts w:hint="eastAsia"/>
          <w:lang w:val="en-US" w:eastAsia="zh-CN"/>
        </w:rPr>
        <w:t xml:space="preserve">    </w:t>
      </w:r>
      <w:r>
        <w:rPr>
          <w:lang w:val="en-US" w:eastAsia="en-US" w:bidi="en-US"/>
        </w:rPr>
        <w:t>D.</w:t>
      </w:r>
      <w:r>
        <w:t>蕴含了限制君主权力的诉求</w:t>
      </w:r>
    </w:p>
    <w:p>
      <w:pPr>
        <w:pStyle w:val="12"/>
        <w:numPr>
          <w:ilvl w:val="0"/>
          <w:numId w:val="2"/>
        </w:numPr>
        <w:tabs>
          <w:tab w:val="left" w:pos="373"/>
        </w:tabs>
        <w:spacing w:line="429" w:lineRule="exact"/>
        <w:ind w:firstLine="0"/>
      </w:pPr>
      <w:bookmarkStart w:id="7" w:name="bookmark10"/>
      <w:bookmarkEnd w:id="7"/>
      <w:r>
        <w:t>唐代，门下省的职责包括“凡百司奏抄，侍中审定，则宪读而署之，以驳正违失”，即</w:t>
      </w:r>
      <w:r>
        <w:rPr>
          <w:shd w:val="clear" w:color="auto" w:fill="FFFFFF"/>
        </w:rPr>
        <w:t>便是皇帝的命令，在没有得到门下省的签署之前，</w:t>
      </w:r>
      <w:r>
        <w:rPr>
          <w:shd w:val="clear" w:color="auto" w:fill="FFFFFF"/>
          <w:lang w:val="zh-CN" w:eastAsia="zh-CN" w:bidi="zh-CN"/>
        </w:rPr>
        <w:t>也不具</w:t>
      </w:r>
      <w:r>
        <w:rPr>
          <w:shd w:val="clear" w:color="auto" w:fill="FFFFFF"/>
        </w:rPr>
        <w:t>有法律效令。这一设置意在</w:t>
      </w:r>
    </w:p>
    <w:p>
      <w:pPr>
        <w:pStyle w:val="12"/>
        <w:tabs>
          <w:tab w:val="left" w:pos="5104"/>
        </w:tabs>
        <w:spacing w:line="429" w:lineRule="exact"/>
        <w:ind w:left="320" w:firstLine="0"/>
      </w:pPr>
      <w:bookmarkStart w:id="8" w:name="bookmark11"/>
      <w:bookmarkEnd w:id="8"/>
      <w:r>
        <w:rPr>
          <w:rFonts w:hint="eastAsia"/>
          <w:lang w:val="en-US" w:eastAsia="zh-CN"/>
        </w:rPr>
        <w:t>A.</w:t>
      </w:r>
      <w:r>
        <w:t>平衡三省权力</w:t>
      </w:r>
      <w:r>
        <w:rPr>
          <w:lang w:val="en-US" w:eastAsia="en-US" w:bidi="en-US"/>
        </w:rPr>
        <w:tab/>
      </w:r>
      <w:r>
        <w:rPr>
          <w:lang w:val="en-US" w:eastAsia="en-US" w:bidi="en-US"/>
        </w:rPr>
        <w:t>B.</w:t>
      </w:r>
      <w:r>
        <w:t>减少决策失误</w:t>
      </w:r>
    </w:p>
    <w:p>
      <w:pPr>
        <w:pStyle w:val="12"/>
        <w:tabs>
          <w:tab w:val="left" w:pos="5104"/>
          <w:tab w:val="left" w:pos="8165"/>
        </w:tabs>
        <w:spacing w:line="436" w:lineRule="exact"/>
        <w:ind w:firstLine="320"/>
      </w:pPr>
      <w:r>
        <w:rPr>
          <w:lang w:val="en-US" w:eastAsia="en-US" w:bidi="en-US"/>
        </w:rPr>
        <w:t>C.</w:t>
      </w:r>
      <w:r>
        <w:t>提高行政效率</w:t>
      </w:r>
      <w:r>
        <w:tab/>
      </w:r>
      <w:r>
        <w:rPr>
          <w:lang w:val="en-US" w:eastAsia="en-US" w:bidi="en-US"/>
        </w:rPr>
        <w:t>D.</w:t>
      </w:r>
      <w:r>
        <w:t>防范君主专制</w:t>
      </w:r>
    </w:p>
    <w:p>
      <w:pPr>
        <w:pStyle w:val="12"/>
        <w:numPr>
          <w:ilvl w:val="0"/>
          <w:numId w:val="2"/>
        </w:numPr>
        <w:tabs>
          <w:tab w:val="left" w:pos="578"/>
        </w:tabs>
        <w:spacing w:line="448" w:lineRule="exact"/>
        <w:ind w:left="380" w:hanging="180"/>
        <w:jc w:val="both"/>
      </w:pPr>
      <w:bookmarkStart w:id="9" w:name="bookmark12"/>
      <w:bookmarkEnd w:id="9"/>
      <w:r>
        <w:t>南宋时平江府的直塘市和横金市都有颇具规模的米市，有的米商</w:t>
      </w:r>
      <w:r>
        <w:rPr>
          <w:rFonts w:hint="eastAsia"/>
          <w:lang w:eastAsia="zh-CN"/>
        </w:rPr>
        <w:t>“</w:t>
      </w:r>
      <w:r>
        <w:rPr>
          <w:lang w:val="zh-CN" w:eastAsia="zh-CN" w:bidi="zh-CN"/>
        </w:rPr>
        <w:t>贮钱</w:t>
      </w:r>
      <w:r>
        <w:t>米万计”，商人张子颜一次就从设在横金市的仓库中拨出储米2500石资助军队；同府吴县吕山市有远 近闻名的药材市场，汇集了各地各类药材，</w:t>
      </w:r>
      <w:r>
        <w:rPr>
          <w:lang w:val="zh-CN" w:eastAsia="zh-CN" w:bidi="zh-CN"/>
        </w:rPr>
        <w:t>“金</w:t>
      </w:r>
      <w:r>
        <w:t>石草木之英，象犀龙麝之珍，鸡首豬苓牛</w:t>
      </w:r>
      <w:r>
        <w:rPr>
          <w:rFonts w:hint="eastAsia"/>
          <w:lang w:val="en-US" w:eastAsia="zh-CN"/>
        </w:rPr>
        <w:t>溲</w:t>
      </w:r>
      <w:r>
        <w:t>马勃之贱，皆聚而有之</w:t>
      </w:r>
      <w:r>
        <w:rPr>
          <w:rFonts w:hint="eastAsia"/>
          <w:lang w:eastAsia="zh-CN"/>
        </w:rPr>
        <w:t>。”</w:t>
      </w:r>
      <w:r>
        <w:t>这说明此时</w:t>
      </w:r>
      <w:r>
        <w:rPr>
          <w:lang w:val="zh-CN" w:eastAsia="zh-CN" w:bidi="zh-CN"/>
        </w:rPr>
        <w:t>江南</w:t>
      </w:r>
    </w:p>
    <w:p>
      <w:pPr>
        <w:pStyle w:val="12"/>
        <w:spacing w:line="448" w:lineRule="exact"/>
        <w:ind w:firstLine="380"/>
      </w:pPr>
      <w:r>
        <w:rPr>
          <w:lang w:val="en-US" w:eastAsia="en-US" w:bidi="en-US"/>
        </w:rPr>
        <w:t>A,</w:t>
      </w:r>
      <w:r>
        <w:t xml:space="preserve">区域生产单一化 </w:t>
      </w:r>
      <w:r>
        <w:rPr>
          <w:rFonts w:hint="eastAsia"/>
          <w:lang w:val="en-US" w:eastAsia="zh-CN"/>
        </w:rPr>
        <w:t xml:space="preserve">                     </w:t>
      </w:r>
      <w:r>
        <w:rPr>
          <w:color w:val="85736E"/>
          <w:lang w:val="en-US" w:eastAsia="en-US" w:bidi="en-US"/>
        </w:rPr>
        <w:t xml:space="preserve"> </w:t>
      </w:r>
      <w:r>
        <w:rPr>
          <w:lang w:val="en-US" w:eastAsia="en-US" w:bidi="en-US"/>
        </w:rPr>
        <w:t>B.</w:t>
      </w:r>
      <w:r>
        <w:t>确立全国贸易中心地位</w:t>
      </w:r>
    </w:p>
    <w:p>
      <w:pPr>
        <w:pStyle w:val="12"/>
        <w:tabs>
          <w:tab w:val="left" w:pos="5104"/>
        </w:tabs>
        <w:spacing w:after="220" w:line="448" w:lineRule="exact"/>
        <w:ind w:firstLine="380"/>
      </w:pPr>
      <w:r>
        <w:rPr>
          <w:lang w:val="en-US" w:eastAsia="en-US" w:bidi="en-US"/>
        </w:rPr>
        <w:t>C.</w:t>
      </w:r>
      <w:r>
        <w:t>集市发展专业化</w:t>
      </w:r>
      <w:r>
        <w:tab/>
      </w:r>
      <w:r>
        <w:rPr>
          <w:lang w:val="en-US" w:eastAsia="en-US" w:bidi="en-US"/>
        </w:rPr>
        <w:t>D.</w:t>
      </w:r>
      <w:r>
        <w:t>出现了地域性商人群体</w:t>
      </w:r>
    </w:p>
    <w:p>
      <w:pPr>
        <w:pStyle w:val="12"/>
        <w:tabs>
          <w:tab w:val="left" w:pos="5104"/>
        </w:tabs>
        <w:spacing w:after="220" w:line="448" w:lineRule="exact"/>
        <w:ind w:firstLine="380"/>
      </w:pPr>
    </w:p>
    <w:p>
      <w:pPr>
        <w:pStyle w:val="12"/>
        <w:numPr>
          <w:ilvl w:val="0"/>
          <w:numId w:val="2"/>
        </w:numPr>
        <w:tabs>
          <w:tab w:val="left" w:pos="357"/>
        </w:tabs>
        <w:spacing w:line="452" w:lineRule="exact"/>
        <w:ind w:firstLine="0"/>
      </w:pPr>
      <w:bookmarkStart w:id="10" w:name="bookmark13"/>
      <w:bookmarkEnd w:id="10"/>
      <w:r>
        <w:rPr>
          <w:lang w:val="zh-CN" w:eastAsia="zh-CN" w:bidi="zh-CN"/>
        </w:rPr>
        <w:t>明清</w:t>
      </w:r>
      <w:r>
        <w:t>时期，上至</w:t>
      </w:r>
      <w:r>
        <w:rPr>
          <w:rFonts w:hint="eastAsia"/>
          <w:lang w:val="en-US" w:eastAsia="zh-CN"/>
        </w:rPr>
        <w:t>官僚</w:t>
      </w:r>
      <w:r>
        <w:t>士大夫，下至平民百姓都特别</w:t>
      </w:r>
      <w:r>
        <w:rPr>
          <w:rFonts w:hint="eastAsia"/>
          <w:lang w:val="en-US" w:eastAsia="zh-CN"/>
        </w:rPr>
        <w:t>重视</w:t>
      </w:r>
      <w:r>
        <w:t>对子孙的道德教育</w:t>
      </w:r>
      <w:r>
        <w:rPr>
          <w:rFonts w:hint="eastAsia"/>
          <w:lang w:eastAsia="zh-CN"/>
        </w:rPr>
        <w:t>，</w:t>
      </w:r>
      <w:r>
        <w:rPr>
          <w:rFonts w:hint="eastAsia"/>
          <w:lang w:val="en-US" w:eastAsia="zh-CN"/>
        </w:rPr>
        <w:t>把“德”</w:t>
      </w:r>
      <w:r>
        <w:t>看作是修身立志的第</w:t>
      </w:r>
      <w:r>
        <w:rPr>
          <w:rFonts w:hint="eastAsia"/>
          <w:lang w:val="en-US" w:eastAsia="zh-CN"/>
        </w:rPr>
        <w:t>一</w:t>
      </w:r>
      <w:r>
        <w:t>要义，把圣贤之道作为立身之本，出现这</w:t>
      </w:r>
      <w:r>
        <w:rPr>
          <w:rFonts w:hint="eastAsia"/>
          <w:lang w:val="en-US" w:eastAsia="zh-CN"/>
        </w:rPr>
        <w:t>一</w:t>
      </w:r>
      <w:r>
        <w:t>现象的原</w:t>
      </w:r>
      <w:r>
        <w:rPr>
          <w:rFonts w:hint="eastAsia"/>
          <w:lang w:val="en-US" w:eastAsia="zh-CN"/>
        </w:rPr>
        <w:t>因是</w:t>
      </w:r>
    </w:p>
    <w:p>
      <w:pPr>
        <w:pStyle w:val="12"/>
        <w:tabs>
          <w:tab w:val="left" w:pos="5006"/>
        </w:tabs>
        <w:spacing w:line="452" w:lineRule="exact"/>
      </w:pPr>
      <w:r>
        <w:rPr>
          <w:lang w:val="en-US" w:eastAsia="en-US" w:bidi="en-US"/>
        </w:rPr>
        <w:t>A.</w:t>
      </w:r>
      <w:r>
        <w:t>主流意识影响</w:t>
      </w:r>
      <w:r>
        <w:tab/>
      </w:r>
      <w:r>
        <w:rPr>
          <w:lang w:val="en-US" w:eastAsia="en-US" w:bidi="en-US"/>
        </w:rPr>
        <w:t>B.</w:t>
      </w:r>
      <w:r>
        <w:t>政府普及教育</w:t>
      </w:r>
    </w:p>
    <w:p>
      <w:pPr>
        <w:pStyle w:val="12"/>
        <w:tabs>
          <w:tab w:val="left" w:pos="5006"/>
        </w:tabs>
        <w:spacing w:line="457" w:lineRule="exact"/>
      </w:pPr>
      <w:r>
        <w:rPr>
          <w:lang w:val="en-US" w:eastAsia="en-US" w:bidi="en-US"/>
        </w:rPr>
        <w:t>C.</w:t>
      </w:r>
      <w:r>
        <w:t>心学受到推崇</w:t>
      </w:r>
      <w:r>
        <w:tab/>
      </w:r>
      <w:r>
        <w:rPr>
          <w:lang w:val="en-US" w:eastAsia="en-US" w:bidi="en-US"/>
        </w:rPr>
        <w:t>D.</w:t>
      </w:r>
      <w:r>
        <w:t>文化逐渐下移</w:t>
      </w:r>
    </w:p>
    <w:p>
      <w:pPr>
        <w:pStyle w:val="12"/>
        <w:numPr>
          <w:ilvl w:val="0"/>
          <w:numId w:val="2"/>
        </w:numPr>
        <w:tabs>
          <w:tab w:val="left" w:pos="357"/>
        </w:tabs>
        <w:spacing w:line="457" w:lineRule="exact"/>
        <w:ind w:left="180" w:hanging="180"/>
      </w:pPr>
      <w:bookmarkStart w:id="11" w:name="bookmark14"/>
      <w:bookmarkEnd w:id="11"/>
      <w:r>
        <w:rPr>
          <w:rFonts w:hint="eastAsia"/>
          <w:lang w:val="en-US" w:eastAsia="zh-CN"/>
        </w:rPr>
        <w:t>1</w:t>
      </w:r>
      <w:r>
        <w:t>864年曾国藩指出：“我朝之制，</w:t>
      </w:r>
      <w:r>
        <w:rPr>
          <w:rFonts w:hint="eastAsia"/>
          <w:lang w:val="en-US" w:eastAsia="zh-CN"/>
        </w:rPr>
        <w:t>一</w:t>
      </w:r>
      <w:r>
        <w:t>省岁入之款，报销听候部拨，</w:t>
      </w:r>
      <w:r>
        <w:rPr>
          <w:rFonts w:hint="eastAsia"/>
          <w:lang w:val="en-US" w:eastAsia="zh-CN"/>
        </w:rPr>
        <w:t>疆</w:t>
      </w:r>
      <w:r>
        <w:t>吏亦不</w:t>
      </w:r>
      <w:r>
        <w:rPr>
          <w:rFonts w:hint="eastAsia"/>
          <w:lang w:val="en-US" w:eastAsia="zh-CN"/>
        </w:rPr>
        <w:t>得专擅，自</w:t>
      </w:r>
      <w:r>
        <w:t>军兴以来，各省丁、漕等款，纷纷奏留供本省军需，于是户</w:t>
      </w:r>
      <w:r>
        <w:rPr>
          <w:rFonts w:hint="eastAsia"/>
          <w:lang w:val="en-US" w:eastAsia="zh-CN"/>
        </w:rPr>
        <w:t>部之权日轻，疆</w:t>
      </w:r>
      <w:r>
        <w:t>吏</w:t>
      </w:r>
      <w:r>
        <w:rPr>
          <w:rFonts w:hint="eastAsia"/>
          <w:lang w:val="en-US" w:eastAsia="zh-CN"/>
        </w:rPr>
        <w:t>之权日</w:t>
      </w:r>
      <w:r>
        <w:t>重，这主要反映了</w:t>
      </w:r>
    </w:p>
    <w:p>
      <w:pPr>
        <w:pStyle w:val="12"/>
        <w:numPr>
          <w:ilvl w:val="0"/>
          <w:numId w:val="3"/>
        </w:numPr>
        <w:tabs>
          <w:tab w:val="left" w:pos="557"/>
        </w:tabs>
        <w:spacing w:line="452" w:lineRule="exact"/>
      </w:pPr>
      <w:bookmarkStart w:id="12" w:name="bookmark15"/>
      <w:bookmarkEnd w:id="12"/>
      <w:r>
        <w:t>社会动乱造成地方割据局面</w:t>
      </w:r>
    </w:p>
    <w:p>
      <w:pPr>
        <w:pStyle w:val="12"/>
        <w:numPr>
          <w:ilvl w:val="0"/>
          <w:numId w:val="3"/>
        </w:numPr>
        <w:tabs>
          <w:tab w:val="left" w:pos="557"/>
        </w:tabs>
        <w:spacing w:line="452" w:lineRule="exact"/>
      </w:pPr>
      <w:bookmarkStart w:id="13" w:name="bookmark16"/>
      <w:bookmarkEnd w:id="13"/>
      <w:r>
        <w:t>农民起义导致地方权力膨胀</w:t>
      </w:r>
    </w:p>
    <w:p>
      <w:pPr>
        <w:pStyle w:val="12"/>
        <w:numPr>
          <w:ilvl w:val="0"/>
          <w:numId w:val="3"/>
        </w:numPr>
        <w:tabs>
          <w:tab w:val="left" w:pos="557"/>
        </w:tabs>
        <w:spacing w:line="452" w:lineRule="exact"/>
      </w:pPr>
      <w:bookmarkStart w:id="14" w:name="bookmark17"/>
      <w:bookmarkEnd w:id="14"/>
      <w:r>
        <w:t>外敌入侵提升封</w:t>
      </w:r>
      <w:r>
        <w:rPr>
          <w:rFonts w:hint="eastAsia"/>
          <w:lang w:val="en-US" w:eastAsia="zh-CN"/>
        </w:rPr>
        <w:t>疆</w:t>
      </w:r>
      <w:r>
        <w:t>大吏实权</w:t>
      </w:r>
    </w:p>
    <w:p>
      <w:pPr>
        <w:pStyle w:val="12"/>
        <w:numPr>
          <w:ilvl w:val="0"/>
          <w:numId w:val="3"/>
        </w:numPr>
        <w:tabs>
          <w:tab w:val="left" w:pos="557"/>
        </w:tabs>
        <w:spacing w:line="452" w:lineRule="exact"/>
      </w:pPr>
      <w:bookmarkStart w:id="15" w:name="bookmark18"/>
      <w:bookmarkEnd w:id="15"/>
      <w:r>
        <w:t>洋务运动加剧中央财政紧张</w:t>
      </w:r>
    </w:p>
    <w:p>
      <w:pPr>
        <w:pStyle w:val="12"/>
        <w:numPr>
          <w:ilvl w:val="0"/>
          <w:numId w:val="2"/>
        </w:numPr>
        <w:tabs>
          <w:tab w:val="left" w:pos="351"/>
        </w:tabs>
        <w:spacing w:line="452" w:lineRule="exact"/>
        <w:ind w:left="180" w:hanging="180"/>
      </w:pPr>
      <w:bookmarkStart w:id="16" w:name="bookmark19"/>
      <w:bookmarkEnd w:id="16"/>
      <w:r>
        <w:t>民国时期，中共徐州独立支部书记白兴民在给江浙区委的一封信中写道：“徐</w:t>
      </w:r>
      <w:r>
        <w:rPr>
          <w:rFonts w:hint="eastAsia"/>
          <w:lang w:val="en-US" w:eastAsia="zh-CN"/>
        </w:rPr>
        <w:t>地</w:t>
      </w:r>
      <w:r>
        <w:t>有</w:t>
      </w:r>
      <w:r>
        <w:rPr>
          <w:rFonts w:hint="eastAsia"/>
          <w:lang w:val="en-US" w:eastAsia="zh-CN"/>
        </w:rPr>
        <w:t>陇</w:t>
      </w:r>
      <w:r>
        <w:t>海、 津浦铁路，在军事上很重要，预计奉军败退时，就做破</w:t>
      </w:r>
      <w:r>
        <w:rPr>
          <w:lang w:val="zh-CN" w:eastAsia="zh-CN" w:bidi="zh-CN"/>
        </w:rPr>
        <w:t>坏</w:t>
      </w:r>
      <w:r>
        <w:rPr>
          <w:rFonts w:hint="eastAsia"/>
          <w:lang w:val="en-US" w:eastAsia="zh-CN" w:bidi="zh-CN"/>
        </w:rPr>
        <w:t>铁道工</w:t>
      </w:r>
      <w:r>
        <w:t>作，独立支部干</w:t>
      </w:r>
      <w:r>
        <w:rPr>
          <w:rFonts w:hint="eastAsia"/>
          <w:lang w:val="en-US" w:eastAsia="zh-CN"/>
        </w:rPr>
        <w:t>事</w:t>
      </w:r>
      <w:r>
        <w:t>会已指示有关破坏铁道的方法</w:t>
      </w:r>
      <w:r>
        <w:rPr>
          <w:rFonts w:hint="eastAsia"/>
          <w:lang w:eastAsia="zh-CN"/>
        </w:rPr>
        <w:t>。</w:t>
      </w:r>
      <w:r>
        <w:t>”中共徐州独立支部此计划的目的是</w:t>
      </w:r>
    </w:p>
    <w:p>
      <w:pPr>
        <w:pStyle w:val="12"/>
        <w:numPr>
          <w:ilvl w:val="0"/>
          <w:numId w:val="4"/>
        </w:numPr>
        <w:spacing w:line="452" w:lineRule="exact"/>
        <w:ind w:firstLine="0"/>
      </w:pPr>
      <w:r>
        <w:rPr>
          <w:rFonts w:hint="eastAsia"/>
          <w:lang w:val="en-US" w:eastAsia="zh-CN"/>
        </w:rPr>
        <w:t xml:space="preserve"> </w:t>
      </w:r>
      <w:r>
        <w:t>配合国民革命军北伐</w:t>
      </w:r>
    </w:p>
    <w:p>
      <w:pPr>
        <w:pStyle w:val="14"/>
        <w:numPr>
          <w:ilvl w:val="0"/>
          <w:numId w:val="5"/>
        </w:numPr>
        <w:tabs>
          <w:tab w:val="left" w:pos="451"/>
        </w:tabs>
        <w:spacing w:line="477" w:lineRule="exact"/>
      </w:pPr>
      <w:r>
        <w:t>争取徐州会战的胜利</w:t>
      </w:r>
    </w:p>
    <w:p>
      <w:pPr>
        <w:pStyle w:val="14"/>
        <w:numPr>
          <w:ilvl w:val="0"/>
          <w:numId w:val="5"/>
        </w:numPr>
        <w:tabs>
          <w:tab w:val="left" w:pos="441"/>
        </w:tabs>
        <w:spacing w:after="160" w:line="477" w:lineRule="exact"/>
      </w:pPr>
      <w:r>
        <w:t>支援新四军游击战争</w:t>
      </w:r>
    </w:p>
    <w:p>
      <w:pPr>
        <w:pStyle w:val="14"/>
        <w:numPr>
          <w:ilvl w:val="0"/>
          <w:numId w:val="5"/>
        </w:numPr>
        <w:tabs>
          <w:tab w:val="left" w:pos="446"/>
        </w:tabs>
        <w:spacing w:line="240" w:lineRule="auto"/>
      </w:pPr>
      <w:r>
        <w:t>扫清淮海战役的残敌</w:t>
      </w:r>
    </w:p>
    <w:p>
      <w:pPr>
        <w:pStyle w:val="14"/>
        <w:spacing w:line="477" w:lineRule="exact"/>
      </w:pPr>
      <w:r>
        <w:rPr>
          <w:lang w:val="en-US" w:eastAsia="en-US" w:bidi="en-US"/>
        </w:rPr>
        <w:t>8.</w:t>
      </w:r>
      <w:r>
        <w:t>下图为1933年在瑞金举行的中华苏维埃共和国五卅赤色体育运动会中获得冠亚军的足球和篮球队合影照片。这两幅照片可以直接用来说明</w:t>
      </w:r>
    </w:p>
    <w:p>
      <w:pPr>
        <w:jc w:val="center"/>
        <w:rPr>
          <w:sz w:val="2"/>
          <w:szCs w:val="2"/>
        </w:rPr>
      </w:pPr>
      <w:r>
        <w:rPr>
          <w:lang w:eastAsia="zh-CN" w:bidi="ar-SA"/>
        </w:rPr>
        <w:drawing>
          <wp:inline distT="0" distB="0" distL="114300" distR="114300">
            <wp:extent cx="5901055" cy="2225040"/>
            <wp:effectExtent l="0" t="0" r="12065"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11"/>
                    <a:stretch>
                      <a:fillRect/>
                    </a:stretch>
                  </pic:blipFill>
                  <pic:spPr>
                    <a:xfrm>
                      <a:off x="0" y="0"/>
                      <a:ext cx="5901055" cy="2225040"/>
                    </a:xfrm>
                    <a:prstGeom prst="rect">
                      <a:avLst/>
                    </a:prstGeom>
                  </pic:spPr>
                </pic:pic>
              </a:graphicData>
            </a:graphic>
          </wp:inline>
        </w:drawing>
      </w:r>
    </w:p>
    <w:p>
      <w:pPr>
        <w:pStyle w:val="14"/>
        <w:numPr>
          <w:ilvl w:val="0"/>
          <w:numId w:val="6"/>
        </w:numPr>
        <w:spacing w:line="418" w:lineRule="exact"/>
        <w:ind w:left="98"/>
      </w:pPr>
      <w:r>
        <w:t xml:space="preserve">民众积极参与军事技能比赛 </w:t>
      </w:r>
    </w:p>
    <w:p>
      <w:pPr>
        <w:pStyle w:val="14"/>
        <w:numPr>
          <w:ilvl w:val="0"/>
          <w:numId w:val="6"/>
        </w:numPr>
        <w:spacing w:line="418" w:lineRule="exact"/>
        <w:ind w:left="98"/>
      </w:pPr>
      <w:r>
        <w:t>军民身体素质得到显著提髙</w:t>
      </w:r>
    </w:p>
    <w:p>
      <w:pPr>
        <w:pStyle w:val="14"/>
        <w:numPr>
          <w:ilvl w:val="0"/>
          <w:numId w:val="7"/>
        </w:numPr>
        <w:tabs>
          <w:tab w:val="left" w:pos="344"/>
        </w:tabs>
        <w:spacing w:line="418" w:lineRule="exact"/>
        <w:ind w:left="98"/>
      </w:pPr>
      <w:r>
        <w:t>革命根据地</w:t>
      </w:r>
      <w:r>
        <w:rPr>
          <w:rFonts w:hint="eastAsia"/>
          <w:lang w:val="en-US" w:eastAsia="zh-CN"/>
        </w:rPr>
        <w:t>体育</w:t>
      </w:r>
      <w:r>
        <w:t>运动得到普及</w:t>
      </w:r>
    </w:p>
    <w:p>
      <w:pPr>
        <w:pStyle w:val="14"/>
        <w:numPr>
          <w:ilvl w:val="0"/>
          <w:numId w:val="8"/>
        </w:numPr>
        <w:tabs>
          <w:tab w:val="left" w:pos="334"/>
        </w:tabs>
        <w:spacing w:line="418" w:lineRule="exact"/>
        <w:ind w:left="98"/>
      </w:pPr>
      <w:r>
        <w:t>苏维埃政府重视开展体育运动</w:t>
      </w:r>
    </w:p>
    <w:p>
      <w:pPr>
        <w:pStyle w:val="14"/>
        <w:tabs>
          <w:tab w:val="left" w:pos="334"/>
        </w:tabs>
        <w:spacing w:line="418" w:lineRule="exact"/>
        <w:ind w:left="98"/>
      </w:pPr>
    </w:p>
    <w:p>
      <w:pPr>
        <w:pStyle w:val="12"/>
        <w:spacing w:line="498" w:lineRule="exact"/>
        <w:ind w:left="220" w:hanging="220"/>
        <w:jc w:val="center"/>
        <w:rPr>
          <w:lang w:val="en-US" w:eastAsia="en-US" w:bidi="en-US"/>
        </w:rPr>
      </w:pPr>
      <w:r>
        <w:rPr>
          <w:rFonts w:hint="eastAsia"/>
          <w:lang w:val="en-US" w:eastAsia="en-US" w:bidi="en-US"/>
        </w:rPr>
        <w:t>高二历史  第</w:t>
      </w:r>
      <w:r>
        <w:rPr>
          <w:rFonts w:hint="eastAsia"/>
          <w:lang w:val="en-US" w:eastAsia="zh-CN" w:bidi="en-US"/>
        </w:rPr>
        <w:t>2</w:t>
      </w:r>
      <w:r>
        <w:rPr>
          <w:rFonts w:hint="eastAsia"/>
          <w:lang w:val="en-US" w:eastAsia="en-US" w:bidi="en-US"/>
        </w:rPr>
        <w:t>页（共6页）</w:t>
      </w:r>
    </w:p>
    <w:p>
      <w:pPr>
        <w:pStyle w:val="12"/>
        <w:spacing w:line="498" w:lineRule="exact"/>
        <w:ind w:left="220" w:hanging="220"/>
        <w:rPr>
          <w:lang w:val="en-US" w:eastAsia="en-US" w:bidi="en-US"/>
        </w:rPr>
      </w:pPr>
    </w:p>
    <w:p>
      <w:pPr>
        <w:pStyle w:val="12"/>
        <w:spacing w:line="498" w:lineRule="exact"/>
        <w:ind w:left="220" w:hanging="220"/>
      </w:pPr>
      <w:r>
        <w:rPr>
          <w:lang w:val="en-US" w:eastAsia="en-US" w:bidi="en-US"/>
        </w:rPr>
        <w:t>9.1948</w:t>
      </w:r>
      <w:r>
        <w:t>年，回到人民手中的鞍钢千疮百孔，难以复产。老工人孟泰刨冰雪，挖废料堆，拣回一根根铁线、一颗颗螺丝钉、一件件备品。在他的带动下，全厂工人都行动起来, 在短短的数月内，回收了上千种材料，捡回上万个零备件，形成了闻名全国的</w:t>
      </w:r>
      <w:r>
        <w:rPr>
          <w:lang w:val="zh-CN" w:eastAsia="zh-CN" w:bidi="zh-CN"/>
        </w:rPr>
        <w:t>“孟泰</w:t>
      </w:r>
      <w:r>
        <w:t>仓库”，1949年4月高炉恢复生产。这体现了</w:t>
      </w:r>
    </w:p>
    <w:p>
      <w:pPr>
        <w:pStyle w:val="12"/>
        <w:numPr>
          <w:ilvl w:val="0"/>
          <w:numId w:val="9"/>
        </w:numPr>
        <w:tabs>
          <w:tab w:val="left" w:pos="625"/>
        </w:tabs>
        <w:spacing w:line="498" w:lineRule="exact"/>
        <w:ind w:firstLine="220"/>
      </w:pPr>
      <w:bookmarkStart w:id="17" w:name="bookmark20"/>
      <w:bookmarkEnd w:id="17"/>
      <w:r>
        <w:t>中国工人阶级艰苦奋斗的优良作风</w:t>
      </w:r>
    </w:p>
    <w:p>
      <w:pPr>
        <w:pStyle w:val="12"/>
        <w:numPr>
          <w:ilvl w:val="0"/>
          <w:numId w:val="9"/>
        </w:numPr>
        <w:tabs>
          <w:tab w:val="left" w:pos="793"/>
        </w:tabs>
        <w:spacing w:line="498" w:lineRule="exact"/>
        <w:ind w:firstLine="420"/>
      </w:pPr>
      <w:bookmarkStart w:id="18" w:name="bookmark21"/>
      <w:bookmarkEnd w:id="18"/>
      <w:r>
        <w:t>人民积极投身公私合营主人翁意识</w:t>
      </w:r>
    </w:p>
    <w:p>
      <w:pPr>
        <w:pStyle w:val="12"/>
        <w:numPr>
          <w:ilvl w:val="0"/>
          <w:numId w:val="9"/>
        </w:numPr>
        <w:tabs>
          <w:tab w:val="left" w:pos="793"/>
        </w:tabs>
        <w:spacing w:after="180" w:line="498" w:lineRule="exact"/>
        <w:ind w:firstLine="420"/>
      </w:pPr>
      <w:bookmarkStart w:id="19" w:name="bookmark22"/>
      <w:bookmarkEnd w:id="19"/>
      <w:r>
        <w:t>东北人民全力支援辽沈战役的热情</w:t>
      </w:r>
    </w:p>
    <w:p>
      <w:pPr>
        <w:pStyle w:val="12"/>
        <w:numPr>
          <w:ilvl w:val="0"/>
          <w:numId w:val="9"/>
        </w:numPr>
        <w:tabs>
          <w:tab w:val="left" w:pos="793"/>
          <w:tab w:val="left" w:pos="7923"/>
        </w:tabs>
        <w:spacing w:line="240" w:lineRule="auto"/>
        <w:ind w:firstLine="420"/>
      </w:pPr>
      <w:bookmarkStart w:id="20" w:name="bookmark23"/>
      <w:bookmarkEnd w:id="20"/>
      <w:r>
        <w:t>人民群众努力建设社会主义的精神</w:t>
      </w:r>
      <w:r>
        <w:tab/>
      </w:r>
      <w:r>
        <w:rPr>
          <w:lang w:val="en-US" w:eastAsia="en-US" w:bidi="en-US"/>
        </w:rPr>
        <w:t>.</w:t>
      </w:r>
    </w:p>
    <w:p>
      <w:pPr>
        <w:pStyle w:val="12"/>
        <w:numPr>
          <w:ilvl w:val="0"/>
          <w:numId w:val="10"/>
        </w:numPr>
        <w:tabs>
          <w:tab w:val="left" w:pos="460"/>
        </w:tabs>
        <w:spacing w:line="465" w:lineRule="exact"/>
        <w:jc w:val="both"/>
      </w:pPr>
      <w:bookmarkStart w:id="21" w:name="bookmark24"/>
      <w:bookmarkEnd w:id="21"/>
      <w:r>
        <w:t>新中国成立之初，新疆库尔勒只是一个边陲小镇，经济十分落后。1979年库尔勒大刀 阔斧的进行农村和城市经济改革,人民生活日益提高;2013年习近平总书记提出了“丝绸之路经济带"的发展战略，库尔勒加快了国际物流园的建设，成为新疆第二大城市。库尔勒取得辉煌成就的主要原因是</w:t>
      </w:r>
    </w:p>
    <w:p>
      <w:pPr>
        <w:pStyle w:val="12"/>
        <w:tabs>
          <w:tab w:val="left" w:pos="4901"/>
        </w:tabs>
        <w:spacing w:line="465" w:lineRule="exact"/>
        <w:ind w:firstLine="220"/>
      </w:pPr>
      <w:r>
        <w:rPr>
          <w:lang w:val="en-US" w:eastAsia="en-US" w:bidi="en-US"/>
        </w:rPr>
        <w:t>A.</w:t>
      </w:r>
      <w:r>
        <w:t>生产关系的根本变革</w:t>
      </w:r>
      <w:r>
        <w:tab/>
      </w:r>
      <w:r>
        <w:rPr>
          <w:lang w:val="en-US" w:eastAsia="en-US" w:bidi="en-US"/>
        </w:rPr>
        <w:t>B.</w:t>
      </w:r>
      <w:r>
        <w:t>边陲城镇的区位优势</w:t>
      </w:r>
    </w:p>
    <w:p>
      <w:pPr>
        <w:pStyle w:val="12"/>
        <w:tabs>
          <w:tab w:val="left" w:pos="4901"/>
        </w:tabs>
        <w:spacing w:line="465" w:lineRule="exact"/>
        <w:ind w:firstLine="220"/>
      </w:pPr>
      <w:r>
        <w:rPr>
          <w:lang w:val="en-US" w:eastAsia="en-US" w:bidi="en-US"/>
        </w:rPr>
        <w:t>C</w:t>
      </w:r>
      <w:r>
        <w:rPr>
          <w:rFonts w:hint="eastAsia"/>
          <w:lang w:val="en-US" w:eastAsia="zh-CN" w:bidi="en-US"/>
        </w:rPr>
        <w:t>.</w:t>
      </w:r>
      <w:r>
        <w:t>国家发展战略的引领</w:t>
      </w:r>
      <w:r>
        <w:tab/>
      </w:r>
      <w:r>
        <w:rPr>
          <w:lang w:val="en-US" w:eastAsia="en-US" w:bidi="en-US"/>
        </w:rPr>
        <w:t>D.</w:t>
      </w:r>
      <w:r>
        <w:t>中外经贸繁荣的刺激</w:t>
      </w:r>
    </w:p>
    <w:p>
      <w:pPr>
        <w:pStyle w:val="12"/>
        <w:numPr>
          <w:ilvl w:val="0"/>
          <w:numId w:val="10"/>
        </w:numPr>
        <w:tabs>
          <w:tab w:val="left" w:pos="460"/>
        </w:tabs>
        <w:spacing w:line="465" w:lineRule="exact"/>
        <w:ind w:firstLine="0"/>
      </w:pPr>
      <w:bookmarkStart w:id="22" w:name="bookmark25"/>
      <w:bookmarkEnd w:id="22"/>
      <w:r>
        <w:t>有学者指出，14、15世纪西班牙、葡萄牙在地中海</w:t>
      </w:r>
      <w:r>
        <w:rPr>
          <w:rFonts w:hint="eastAsia"/>
          <w:lang w:eastAsia="zh-CN"/>
        </w:rPr>
        <w:t>—</w:t>
      </w:r>
      <w:r>
        <w:t>北海贸易区竞争中被意大利不断削弱，在与北大西洋沿岸国家贸易中常处于入超地位。特别是受到这些国家优势工业 品的有力挑战，促使相对后进的西班牙、葡萄牙率先开辟新航路，寻找新市场。该学者认为新航路开辟的原因是</w:t>
      </w:r>
    </w:p>
    <w:p>
      <w:pPr>
        <w:pStyle w:val="12"/>
        <w:tabs>
          <w:tab w:val="left" w:pos="4901"/>
        </w:tabs>
        <w:spacing w:line="498" w:lineRule="exact"/>
        <w:ind w:firstLine="220"/>
      </w:pPr>
      <w:r>
        <w:rPr>
          <w:lang w:val="en-US" w:eastAsia="en-US" w:bidi="en-US"/>
        </w:rPr>
        <w:t xml:space="preserve">A. </w:t>
      </w:r>
      <w:r>
        <w:rPr>
          <w:lang w:val="zh-CN" w:eastAsia="zh-CN" w:bidi="zh-CN"/>
        </w:rPr>
        <w:t>“商业</w:t>
      </w:r>
      <w:r>
        <w:t>危机"的影响</w:t>
      </w:r>
      <w:r>
        <w:tab/>
      </w:r>
      <w:r>
        <w:rPr>
          <w:lang w:val="en-US" w:eastAsia="en-US" w:bidi="en-US"/>
        </w:rPr>
        <w:t>B.</w:t>
      </w:r>
      <w:r>
        <w:t>地区之间的商业竞争</w:t>
      </w:r>
    </w:p>
    <w:p>
      <w:pPr>
        <w:pStyle w:val="12"/>
        <w:tabs>
          <w:tab w:val="left" w:pos="4901"/>
        </w:tabs>
        <w:spacing w:line="498" w:lineRule="exact"/>
        <w:ind w:firstLine="220"/>
      </w:pPr>
      <w:r>
        <w:rPr>
          <w:lang w:val="en-US" w:eastAsia="en-US" w:bidi="en-US"/>
        </w:rPr>
        <w:t xml:space="preserve">C. </w:t>
      </w:r>
      <w:r>
        <w:rPr>
          <w:lang w:val="zh-CN" w:eastAsia="zh-CN" w:bidi="zh-CN"/>
        </w:rPr>
        <w:t>“地圆</w:t>
      </w:r>
      <w:r>
        <w:t>学说”的推动</w:t>
      </w:r>
      <w:r>
        <w:tab/>
      </w:r>
      <w:r>
        <w:rPr>
          <w:lang w:val="en-US" w:eastAsia="en-US" w:bidi="en-US"/>
        </w:rPr>
        <w:t>D.</w:t>
      </w:r>
      <w:r>
        <w:t>资本主义萌芽的产生</w:t>
      </w:r>
    </w:p>
    <w:p>
      <w:pPr>
        <w:pStyle w:val="12"/>
        <w:numPr>
          <w:ilvl w:val="0"/>
          <w:numId w:val="10"/>
        </w:numPr>
        <w:tabs>
          <w:tab w:val="left" w:pos="436"/>
        </w:tabs>
        <w:spacing w:line="520" w:lineRule="exact"/>
        <w:ind w:left="220" w:hanging="220"/>
      </w:pPr>
      <w:bookmarkStart w:id="23" w:name="bookmark26"/>
      <w:bookmarkEnd w:id="23"/>
      <w:r>
        <w:t>近代西方学者认为，不承认情感的康德实际上是排除了对情感进行评价的可能，拒绝承认非理性的存在也就丧失了自我理解的可能。这一观点</w:t>
      </w:r>
    </w:p>
    <w:p>
      <w:pPr>
        <w:pStyle w:val="12"/>
        <w:tabs>
          <w:tab w:val="left" w:pos="4667"/>
        </w:tabs>
        <w:spacing w:line="498" w:lineRule="exact"/>
        <w:ind w:firstLine="0"/>
      </w:pPr>
      <w:r>
        <w:rPr>
          <w:lang w:val="en-US" w:eastAsia="en-US" w:bidi="en-US"/>
        </w:rPr>
        <w:t>A.</w:t>
      </w:r>
      <w:r>
        <w:t>完全否定理性的积极作用</w:t>
      </w:r>
      <w:r>
        <w:tab/>
      </w:r>
      <w:r>
        <w:rPr>
          <w:lang w:val="en-US" w:eastAsia="en-US" w:bidi="en-US"/>
        </w:rPr>
        <w:t>B.</w:t>
      </w:r>
      <w:r>
        <w:t>主张满足人类自然欲求</w:t>
      </w:r>
    </w:p>
    <w:p>
      <w:pPr>
        <w:pStyle w:val="12"/>
        <w:spacing w:line="498" w:lineRule="exact"/>
        <w:ind w:firstLine="0"/>
      </w:pPr>
      <w:r>
        <w:rPr>
          <w:lang w:val="en-US" w:eastAsia="en-US" w:bidi="en-US"/>
        </w:rPr>
        <w:t>C.</w:t>
      </w:r>
      <w:r>
        <w:t>开启人类自我认识的历程</w:t>
      </w:r>
      <w:r>
        <w:rPr>
          <w:rFonts w:hint="eastAsia"/>
          <w:lang w:val="en-US" w:eastAsia="zh-CN"/>
        </w:rPr>
        <w:t xml:space="preserve">               </w:t>
      </w:r>
      <w:r>
        <w:rPr>
          <w:lang w:val="en-US" w:eastAsia="en-US" w:bidi="en-US"/>
        </w:rPr>
        <w:t>D.</w:t>
      </w:r>
      <w:r>
        <w:t>倡导人类感性认知回归</w:t>
      </w:r>
    </w:p>
    <w:p>
      <w:pPr>
        <w:pStyle w:val="12"/>
        <w:numPr>
          <w:ilvl w:val="0"/>
          <w:numId w:val="10"/>
        </w:numPr>
        <w:tabs>
          <w:tab w:val="left" w:pos="436"/>
        </w:tabs>
        <w:spacing w:line="498" w:lineRule="exact"/>
        <w:ind w:firstLine="0"/>
      </w:pPr>
      <w:bookmarkStart w:id="24" w:name="bookmark27"/>
      <w:bookmarkEnd w:id="24"/>
      <w:r>
        <w:t>英国1832年的议会改革，从内容上来看仅仅是一次小的变动，即将选举权从身份资格转向财产资格，改革后的选民人数从总人口比例的</w:t>
      </w:r>
      <w:r>
        <w:rPr>
          <w:lang w:val="en-US" w:eastAsia="en-US" w:bidi="en-US"/>
        </w:rPr>
        <w:t xml:space="preserve">2. </w:t>
      </w:r>
      <w:r>
        <w:t>5%增长到</w:t>
      </w:r>
      <w:r>
        <w:rPr>
          <w:lang w:val="en-US" w:eastAsia="en-US" w:bidi="en-US"/>
        </w:rPr>
        <w:t xml:space="preserve">3. </w:t>
      </w:r>
      <w:r>
        <w:t>3%,中等阶级主体获得了选举权进入到政权体系之中，曾经与中等阶级并肩战斗的工人阶级一无</w:t>
      </w:r>
      <w:r>
        <w:rPr>
          <w:lang w:val="zh-CN" w:eastAsia="zh-CN" w:bidi="zh-CN"/>
        </w:rPr>
        <w:t>所获。</w:t>
      </w:r>
      <w:r>
        <w:t>这次议会改革</w:t>
      </w:r>
    </w:p>
    <w:p>
      <w:pPr>
        <w:pStyle w:val="12"/>
        <w:spacing w:line="498" w:lineRule="exact"/>
        <w:ind w:firstLine="0"/>
      </w:pPr>
      <w:r>
        <w:rPr>
          <w:rFonts w:hint="eastAsia"/>
          <w:lang w:val="en-US" w:eastAsia="zh-CN" w:bidi="en-US"/>
        </w:rPr>
        <w:t>A.</w:t>
      </w:r>
      <w:r>
        <w:t>工业资产阶级获得重大胜利</w:t>
      </w:r>
    </w:p>
    <w:p>
      <w:pPr>
        <w:pStyle w:val="12"/>
        <w:tabs>
          <w:tab w:val="left" w:pos="5408"/>
        </w:tabs>
        <w:spacing w:line="498" w:lineRule="exact"/>
        <w:ind w:firstLine="0"/>
      </w:pPr>
      <w:r>
        <w:rPr>
          <w:lang w:val="en-US" w:eastAsia="en-US" w:bidi="en-US"/>
        </w:rPr>
        <w:t>B</w:t>
      </w:r>
      <w:r>
        <w:rPr>
          <w:rFonts w:hint="eastAsia"/>
          <w:lang w:val="en-US" w:eastAsia="zh-CN" w:bidi="en-US"/>
        </w:rPr>
        <w:t>.</w:t>
      </w:r>
      <w:r>
        <w:t>资本主义民主范围显著扩大</w:t>
      </w:r>
      <w:r>
        <w:tab/>
      </w:r>
    </w:p>
    <w:p>
      <w:pPr>
        <w:pStyle w:val="12"/>
        <w:tabs>
          <w:tab w:val="left" w:pos="6954"/>
        </w:tabs>
        <w:spacing w:after="120" w:line="498" w:lineRule="exact"/>
        <w:ind w:firstLine="0"/>
      </w:pPr>
      <w:r>
        <w:rPr>
          <w:lang w:val="en-US" w:eastAsia="en-US" w:bidi="en-US"/>
        </w:rPr>
        <w:t>C</w:t>
      </w:r>
      <w:r>
        <w:rPr>
          <w:rFonts w:hint="eastAsia"/>
          <w:lang w:val="en-US" w:eastAsia="zh-CN" w:bidi="en-US"/>
        </w:rPr>
        <w:t>.</w:t>
      </w:r>
      <w:r>
        <w:t>无产阶级开始登上政治舞台</w:t>
      </w:r>
      <w:r>
        <w:rPr>
          <w:color w:val="85736E"/>
          <w:lang w:val="en-US" w:eastAsia="en-US" w:bidi="en-US"/>
        </w:rPr>
        <w:tab/>
      </w:r>
    </w:p>
    <w:p>
      <w:pPr>
        <w:pStyle w:val="12"/>
        <w:spacing w:line="240" w:lineRule="auto"/>
        <w:ind w:firstLine="0"/>
      </w:pPr>
      <w:r>
        <w:rPr>
          <w:lang w:val="en-US" w:eastAsia="en-US" w:bidi="en-US"/>
        </w:rPr>
        <w:t>D</w:t>
      </w:r>
      <w:r>
        <w:rPr>
          <w:rFonts w:hint="eastAsia"/>
          <w:lang w:val="en-US" w:eastAsia="zh-CN" w:bidi="en-US"/>
        </w:rPr>
        <w:t>.</w:t>
      </w:r>
      <w:r>
        <w:t>确立了英国渐进式改革传统</w:t>
      </w:r>
    </w:p>
    <w:p>
      <w:pPr>
        <w:pStyle w:val="12"/>
        <w:spacing w:line="240" w:lineRule="auto"/>
        <w:ind w:firstLine="0"/>
      </w:pPr>
    </w:p>
    <w:p>
      <w:pPr>
        <w:pStyle w:val="12"/>
        <w:spacing w:after="60" w:line="240" w:lineRule="auto"/>
        <w:ind w:firstLine="0"/>
        <w:jc w:val="center"/>
        <w:sectPr>
          <w:headerReference r:id="rId4" w:type="first"/>
          <w:footerReference r:id="rId6" w:type="first"/>
          <w:headerReference r:id="rId3" w:type="default"/>
          <w:footerReference r:id="rId5" w:type="default"/>
          <w:pgSz w:w="11900" w:h="16840"/>
          <w:pgMar w:top="356" w:right="1344" w:bottom="449" w:left="476" w:header="0" w:footer="3" w:gutter="0"/>
          <w:pgNumType w:start="1"/>
          <w:cols w:space="720" w:num="1"/>
          <w:titlePg/>
          <w:docGrid w:linePitch="360" w:charSpace="0"/>
        </w:sectPr>
      </w:pPr>
      <w:r>
        <w:t>高二历史</w:t>
      </w:r>
      <w:r>
        <w:rPr>
          <w:rFonts w:hint="eastAsia"/>
          <w:lang w:val="en-US" w:eastAsia="zh-CN"/>
        </w:rPr>
        <w:t xml:space="preserve">  </w:t>
      </w:r>
      <w:r>
        <w:t>第3页（共6页）</w:t>
      </w:r>
    </w:p>
    <w:p>
      <w:pPr>
        <w:pStyle w:val="12"/>
        <w:tabs>
          <w:tab w:val="left" w:pos="7048"/>
        </w:tabs>
        <w:spacing w:line="240" w:lineRule="auto"/>
        <w:ind w:firstLine="0"/>
        <w:jc w:val="both"/>
        <w:rPr>
          <w:lang w:val="en-US"/>
        </w:rPr>
      </w:pPr>
      <w:bookmarkStart w:id="25" w:name="bookmark28"/>
      <w:bookmarkEnd w:id="25"/>
      <w:r>
        <w:rPr>
          <w:rFonts w:hint="eastAsia"/>
          <w:lang w:val="en-US" w:eastAsia="zh-CN"/>
        </w:rPr>
        <w:t>14.</w:t>
      </w:r>
      <w:r>
        <w:t>新经济政策实施后，列宁曾说，在政策上要这样对待</w:t>
      </w:r>
      <w:r>
        <w:rPr>
          <w:lang w:val="zh-CN" w:eastAsia="zh-CN" w:bidi="zh-CN"/>
        </w:rPr>
        <w:t>合作</w:t>
      </w:r>
      <w:r>
        <w:rPr>
          <w:rFonts w:hint="eastAsia"/>
          <w:lang w:val="en-US" w:eastAsia="zh-CN" w:bidi="zh-CN"/>
        </w:rPr>
        <w:t>社，就是不仅使它能一般地、经常地享受一定的优待，而且要使这种优待成为纯粹资财上的优待。贷给合作社的国家资金，应该比贷给私人企业的多些，即使稍微多一些也好，甚至和给重工业等部门的一样多。列宁这段话意在</w:t>
      </w:r>
    </w:p>
    <w:p>
      <w:pPr>
        <w:pStyle w:val="12"/>
        <w:tabs>
          <w:tab w:val="left" w:pos="4889"/>
        </w:tabs>
        <w:spacing w:line="240" w:lineRule="auto"/>
        <w:ind w:firstLine="240"/>
        <w:jc w:val="both"/>
      </w:pPr>
      <w:r>
        <w:rPr>
          <w:lang w:val="en-US" w:eastAsia="en-US" w:bidi="en-US"/>
        </w:rPr>
        <w:t>A.</w:t>
      </w:r>
      <w:r>
        <w:t>壮大公有制经济</w:t>
      </w:r>
      <w:r>
        <w:tab/>
      </w:r>
      <w:r>
        <w:rPr>
          <w:lang w:val="en-US" w:eastAsia="en-US" w:bidi="en-US"/>
        </w:rPr>
        <w:t>B.</w:t>
      </w:r>
      <w:r>
        <w:t>迅速建成社会主义</w:t>
      </w:r>
    </w:p>
    <w:p>
      <w:pPr>
        <w:pStyle w:val="12"/>
        <w:tabs>
          <w:tab w:val="left" w:pos="4889"/>
        </w:tabs>
        <w:spacing w:line="445" w:lineRule="exact"/>
        <w:ind w:firstLine="240"/>
        <w:jc w:val="both"/>
      </w:pPr>
      <w:r>
        <w:rPr>
          <w:lang w:val="en-US" w:eastAsia="en-US" w:bidi="en-US"/>
        </w:rPr>
        <w:t>C.</w:t>
      </w:r>
      <w:r>
        <w:t>加快工业化进程</w:t>
      </w:r>
      <w:r>
        <w:tab/>
      </w:r>
      <w:r>
        <w:rPr>
          <w:lang w:val="en-US" w:eastAsia="en-US" w:bidi="en-US"/>
        </w:rPr>
        <w:t>D</w:t>
      </w:r>
      <w:r>
        <w:rPr>
          <w:lang w:val="zh-CN" w:eastAsia="zh-CN" w:bidi="zh-CN"/>
        </w:rPr>
        <w:t>.调整</w:t>
      </w:r>
      <w:r>
        <w:t>国民经济比例</w:t>
      </w:r>
    </w:p>
    <w:p>
      <w:pPr>
        <w:pStyle w:val="12"/>
        <w:spacing w:line="445" w:lineRule="exact"/>
        <w:ind w:firstLine="0"/>
        <w:jc w:val="both"/>
      </w:pPr>
      <w:bookmarkStart w:id="26" w:name="bookmark29"/>
      <w:bookmarkEnd w:id="26"/>
      <w:r>
        <w:rPr>
          <w:rFonts w:hint="eastAsia"/>
          <w:lang w:val="en-US" w:eastAsia="zh-CN" w:bidi="zh-CN"/>
        </w:rPr>
        <w:t>15.</w:t>
      </w:r>
      <w:r>
        <w:rPr>
          <w:lang w:val="zh-CN" w:eastAsia="zh-CN" w:bidi="zh-CN"/>
        </w:rPr>
        <w:t>罗斯</w:t>
      </w:r>
      <w:r>
        <w:t>福成立的国家复兴署制定了繁杂的法规制度，甚至具体到“通心粉的制作</w:t>
      </w:r>
      <w:r>
        <w:rPr>
          <w:rFonts w:hint="eastAsia"/>
          <w:lang w:val="en-US" w:eastAsia="zh-CN"/>
        </w:rPr>
        <w:t>必须</w:t>
      </w:r>
      <w:r>
        <w:t>有 什么而没有什么”；又如制定最低工资标准，使本就经营困难的企业宁愿少雇</w:t>
      </w:r>
      <w:r>
        <w:rPr>
          <w:rFonts w:hint="eastAsia"/>
          <w:lang w:val="en-US" w:eastAsia="zh-CN"/>
        </w:rPr>
        <w:t>佣</w:t>
      </w:r>
      <w:r>
        <w:t>工人</w:t>
      </w:r>
      <w:r>
        <w:rPr>
          <w:rFonts w:hint="eastAsia"/>
          <w:lang w:eastAsia="zh-CN"/>
        </w:rPr>
        <w:t>，</w:t>
      </w:r>
      <w:r>
        <w:t>反而使得失业率提升</w:t>
      </w:r>
      <w:r>
        <w:rPr>
          <w:rFonts w:hint="eastAsia"/>
          <w:lang w:eastAsia="zh-CN"/>
        </w:rPr>
        <w:t>。</w:t>
      </w:r>
      <w:r>
        <w:t>1935年最高法院裁定以上两项政策均违宪。这表明工业复兴措施的制订</w:t>
      </w:r>
    </w:p>
    <w:p>
      <w:pPr>
        <w:pStyle w:val="12"/>
        <w:tabs>
          <w:tab w:val="left" w:pos="4462"/>
          <w:tab w:val="left" w:pos="4889"/>
        </w:tabs>
        <w:spacing w:line="445" w:lineRule="exact"/>
        <w:ind w:firstLine="240"/>
        <w:jc w:val="both"/>
      </w:pPr>
      <w:r>
        <w:rPr>
          <w:lang w:val="en-US" w:eastAsia="en-US" w:bidi="en-US"/>
        </w:rPr>
        <w:t>A,</w:t>
      </w:r>
      <w:r>
        <w:t>完善企业生产经营环节</w:t>
      </w:r>
      <w:r>
        <w:tab/>
      </w:r>
      <w:r>
        <w:rPr>
          <w:lang w:val="en-US" w:eastAsia="en-US" w:bidi="en-US"/>
        </w:rPr>
        <w:tab/>
      </w:r>
      <w:r>
        <w:rPr>
          <w:lang w:val="en-US" w:eastAsia="en-US" w:bidi="en-US"/>
        </w:rPr>
        <w:t>B.</w:t>
      </w:r>
      <w:r>
        <w:t>全面背离自由主义原则</w:t>
      </w:r>
    </w:p>
    <w:p>
      <w:pPr>
        <w:pStyle w:val="12"/>
        <w:tabs>
          <w:tab w:val="left" w:pos="4889"/>
        </w:tabs>
        <w:spacing w:line="240" w:lineRule="auto"/>
        <w:ind w:firstLine="240"/>
        <w:jc w:val="both"/>
      </w:pPr>
      <w:r>
        <w:rPr>
          <w:lang w:val="en-US" w:eastAsia="en-US" w:bidi="en-US"/>
        </w:rPr>
        <w:t>C.</w:t>
      </w:r>
      <w:r>
        <w:t>过度干预企业经营管理</w:t>
      </w:r>
      <w:r>
        <w:tab/>
      </w:r>
      <w:r>
        <w:rPr>
          <w:lang w:val="en-US" w:eastAsia="en-US" w:bidi="en-US"/>
        </w:rPr>
        <w:t>D.</w:t>
      </w:r>
      <w:r>
        <w:t>触犯资产阶级根本利益</w:t>
      </w:r>
    </w:p>
    <w:p>
      <w:pPr>
        <w:pStyle w:val="18"/>
        <w:jc w:val="both"/>
      </w:pPr>
      <w:r>
        <w:t>\ \</w:t>
      </w:r>
    </w:p>
    <w:p>
      <w:pPr>
        <w:pStyle w:val="12"/>
        <w:spacing w:line="456" w:lineRule="exact"/>
        <w:ind w:firstLine="0"/>
        <w:jc w:val="both"/>
      </w:pPr>
      <w:r>
        <w:t>二、非选择题：共4题，共55分。其中第16题13分，第17题13分,第18题14分</w:t>
      </w:r>
      <w:r>
        <w:rPr>
          <w:rFonts w:hint="eastAsia"/>
          <w:lang w:eastAsia="zh-CN"/>
        </w:rPr>
        <w:t>，</w:t>
      </w:r>
      <w:r>
        <w:t>第19题15分。</w:t>
      </w:r>
    </w:p>
    <w:p>
      <w:pPr>
        <w:pStyle w:val="12"/>
        <w:tabs>
          <w:tab w:val="left" w:pos="475"/>
          <w:tab w:val="left" w:pos="7048"/>
        </w:tabs>
        <w:spacing w:line="420" w:lineRule="exact"/>
        <w:ind w:firstLine="0"/>
        <w:jc w:val="both"/>
      </w:pPr>
      <w:bookmarkStart w:id="27" w:name="bookmark30"/>
      <w:bookmarkEnd w:id="27"/>
      <w:r>
        <w:rPr>
          <w:rFonts w:hint="eastAsia"/>
          <w:lang w:val="en-US" w:eastAsia="zh-CN"/>
        </w:rPr>
        <w:t>16.</w:t>
      </w:r>
      <w:r>
        <w:t>（13分）阅读材料，完成下列要求</w:t>
      </w:r>
      <w:r>
        <w:rPr>
          <w:rFonts w:hint="eastAsia"/>
          <w:lang w:eastAsia="zh-CN"/>
        </w:rPr>
        <w:t>。</w:t>
      </w:r>
    </w:p>
    <w:p>
      <w:pPr>
        <w:pStyle w:val="12"/>
        <w:spacing w:line="420" w:lineRule="exact"/>
        <w:ind w:left="340" w:firstLine="460"/>
        <w:jc w:val="both"/>
      </w:pPr>
      <w:r>
        <w:t>材料一 传统中国社会的治理是通过两条平行的轨道进行的：一条是自上而下的中央集权的专制体制的轨道，它以皇帝为中心建立一整套的官僚体系，由官员与知识分子来实施具体的治理，最后可以到达县这一层；另一条是由乡绅等乡村精英进行治 理，乡绅是乡村社会的实际</w:t>
      </w:r>
      <w:r>
        <w:rPr>
          <w:lang w:val="zh-CN" w:eastAsia="zh-CN" w:bidi="zh-CN"/>
        </w:rPr>
        <w:t>“统</w:t>
      </w:r>
      <w:r>
        <w:t>治阶级”，而宗族是乡绅进行乡村治理的组织基础。</w:t>
      </w:r>
    </w:p>
    <w:p>
      <w:pPr>
        <w:pStyle w:val="12"/>
        <w:tabs>
          <w:tab w:val="left" w:pos="1461"/>
        </w:tabs>
        <w:spacing w:line="420" w:lineRule="exact"/>
        <w:ind w:right="140" w:firstLine="0"/>
        <w:jc w:val="right"/>
      </w:pPr>
      <w:r>
        <w:rPr>
          <w:lang w:val="en-US" w:eastAsia="en-US" w:bidi="en-US"/>
        </w:rPr>
        <w:tab/>
      </w:r>
      <w:r>
        <w:rPr>
          <w:rFonts w:hint="eastAsia"/>
          <w:lang w:val="en-US" w:eastAsia="zh-CN" w:bidi="en-US"/>
        </w:rPr>
        <w:t>——</w:t>
      </w:r>
      <w:r>
        <w:t>摘编自郑卫东</w:t>
      </w:r>
      <w:r>
        <w:rPr>
          <w:lang w:val="zh-CN" w:eastAsia="zh-CN" w:bidi="zh-CN"/>
        </w:rPr>
        <w:t>《“双</w:t>
      </w:r>
      <w:r>
        <w:t>轨政治</w:t>
      </w:r>
      <w:r>
        <w:rPr>
          <w:lang w:val="zh-CN" w:eastAsia="zh-CN" w:bidi="zh-CN"/>
        </w:rPr>
        <w:t>”转</w:t>
      </w:r>
      <w:r>
        <w:t>型与村治结构创新》</w:t>
      </w:r>
    </w:p>
    <w:p>
      <w:pPr>
        <w:pStyle w:val="12"/>
        <w:tabs>
          <w:tab w:val="left" w:pos="8415"/>
        </w:tabs>
        <w:spacing w:after="180" w:line="420" w:lineRule="exact"/>
        <w:ind w:left="340" w:firstLine="460"/>
        <w:jc w:val="both"/>
      </w:pPr>
      <w:r>
        <w:t>材料二 晚清以来中国社会治理发生重大变革。从白莲教起事到太平天国运动， 官方的基层治理</w:t>
      </w:r>
      <w:r>
        <w:rPr>
          <w:rFonts w:hint="eastAsia"/>
          <w:lang w:val="en-US" w:eastAsia="zh-CN"/>
        </w:rPr>
        <w:t>系统</w:t>
      </w:r>
      <w:r>
        <w:t>逐渐失灵，民间治理系统即以乡绅为核心的乡族体系开始一枝独大。鸦片成争促使国人逐渐觉醒，成立各种社团逐渐成为新的治理主体，对社会治理 产生了较大影响。民国时期，基层社会治理的主体进一步变化。在官方系统方面，县下设区进行管理，区逐渐成为县下常设的政区。在民治系统方面，乡族与近代社，并存，尤以社团在基层社会治理中发挥了重要作用。如共产党人彭湃在广东建立的农民 协会，调解民间纠纷，处理农民与地主之间的矛盾，有效维护下层民众的切身利益 真正推进了基层社会治理的民主化。</w:t>
      </w:r>
      <w:r>
        <w:tab/>
      </w:r>
    </w:p>
    <w:p>
      <w:pPr>
        <w:pStyle w:val="12"/>
        <w:spacing w:line="240" w:lineRule="auto"/>
        <w:ind w:right="140" w:firstLine="0"/>
        <w:jc w:val="right"/>
      </w:pPr>
      <w:r>
        <w:rPr>
          <w:rFonts w:hint="eastAsia"/>
          <w:lang w:eastAsia="zh-CN"/>
        </w:rPr>
        <w:t>——</w:t>
      </w:r>
      <w:r>
        <w:t>摘编自温建钦《近代基层社会治理出现转型》</w:t>
      </w:r>
    </w:p>
    <w:p>
      <w:pPr>
        <w:pStyle w:val="12"/>
        <w:tabs>
          <w:tab w:val="left" w:pos="1292"/>
        </w:tabs>
        <w:spacing w:line="240" w:lineRule="auto"/>
        <w:ind w:firstLine="760"/>
        <w:jc w:val="both"/>
      </w:pPr>
      <w:bookmarkStart w:id="28" w:name="bookmark31"/>
      <w:r>
        <w:t>（</w:t>
      </w:r>
      <w:bookmarkEnd w:id="28"/>
      <w:r>
        <w:t>1）</w:t>
      </w:r>
      <w:r>
        <w:tab/>
      </w:r>
      <w:r>
        <w:t>据材料一并结合所学知识，概括传统中国社会治理的路径及制度基础（4分）</w:t>
      </w:r>
    </w:p>
    <w:p>
      <w:pPr>
        <w:pStyle w:val="12"/>
        <w:tabs>
          <w:tab w:val="left" w:pos="532"/>
        </w:tabs>
        <w:spacing w:line="420" w:lineRule="exact"/>
        <w:ind w:firstLine="720" w:firstLineChars="300"/>
        <w:jc w:val="both"/>
      </w:pPr>
      <w:bookmarkStart w:id="29" w:name="bookmark32"/>
      <w:r>
        <w:t>（</w:t>
      </w:r>
      <w:bookmarkEnd w:id="29"/>
      <w:r>
        <w:t>2）据材料二并结合所学知识，指出近代中国社会治理的变革及原因。（7</w:t>
      </w:r>
      <w:r>
        <w:rPr>
          <w:rFonts w:hint="eastAsia"/>
          <w:lang w:val="en-US" w:eastAsia="zh-CN"/>
        </w:rPr>
        <w:t>分</w:t>
      </w:r>
      <w:r>
        <w:t>）</w:t>
      </w:r>
    </w:p>
    <w:p>
      <w:pPr>
        <w:pStyle w:val="12"/>
        <w:tabs>
          <w:tab w:val="left" w:pos="1292"/>
        </w:tabs>
        <w:spacing w:after="460" w:line="240" w:lineRule="auto"/>
        <w:ind w:firstLine="760"/>
        <w:jc w:val="both"/>
      </w:pPr>
      <w:bookmarkStart w:id="30" w:name="bookmark33"/>
      <w:r>
        <w:t>（</w:t>
      </w:r>
      <w:bookmarkEnd w:id="30"/>
      <w:r>
        <w:t>3）</w:t>
      </w:r>
      <w:r>
        <w:tab/>
      </w:r>
      <w:r>
        <w:t>综合上述材料，概括中国社会治理体系的发展趋势。（2分）</w:t>
      </w:r>
      <w:r>
        <w:br w:type="page"/>
      </w:r>
    </w:p>
    <w:p>
      <w:pPr>
        <w:pStyle w:val="20"/>
        <w:jc w:val="left"/>
      </w:pPr>
      <w:r>
        <w:rPr>
          <w:lang w:val="en-US" w:eastAsia="en-US" w:bidi="en-US"/>
        </w:rPr>
        <w:t xml:space="preserve">17. </w:t>
      </w:r>
      <w:r>
        <w:rPr>
          <w:lang w:val="zh-CN" w:eastAsia="zh-CN" w:bidi="zh-CN"/>
        </w:rPr>
        <w:t>（13</w:t>
      </w:r>
      <w:r>
        <w:t>分）阅读材料，完成下列要求。</w:t>
      </w:r>
    </w:p>
    <w:tbl>
      <w:tblPr>
        <w:tblStyle w:val="3"/>
        <w:tblW w:w="0" w:type="auto"/>
        <w:jc w:val="center"/>
        <w:tblLayout w:type="fixed"/>
        <w:tblCellMar>
          <w:top w:w="0" w:type="dxa"/>
          <w:left w:w="10" w:type="dxa"/>
          <w:bottom w:w="0" w:type="dxa"/>
          <w:right w:w="10" w:type="dxa"/>
        </w:tblCellMar>
      </w:tblPr>
      <w:tblGrid>
        <w:gridCol w:w="1987"/>
        <w:gridCol w:w="7333"/>
      </w:tblGrid>
      <w:tr>
        <w:tblPrEx>
          <w:tblCellMar>
            <w:top w:w="0" w:type="dxa"/>
            <w:left w:w="10" w:type="dxa"/>
            <w:bottom w:w="0" w:type="dxa"/>
            <w:right w:w="10" w:type="dxa"/>
          </w:tblCellMar>
        </w:tblPrEx>
        <w:trPr>
          <w:trHeight w:val="498" w:hRule="exact"/>
          <w:jc w:val="center"/>
        </w:trPr>
        <w:tc>
          <w:tcPr>
            <w:tcW w:w="1987" w:type="dxa"/>
            <w:tcBorders>
              <w:top w:val="single" w:color="auto" w:sz="4" w:space="0"/>
              <w:left w:val="single" w:color="auto" w:sz="4" w:space="0"/>
            </w:tcBorders>
            <w:shd w:val="clear" w:color="auto" w:fill="FFFFFF"/>
            <w:vAlign w:val="bottom"/>
          </w:tcPr>
          <w:p>
            <w:pPr>
              <w:pStyle w:val="22"/>
              <w:spacing w:line="240" w:lineRule="auto"/>
              <w:ind w:firstLine="0"/>
              <w:jc w:val="center"/>
            </w:pPr>
            <w:r>
              <w:t>民族企业家</w:t>
            </w:r>
          </w:p>
        </w:tc>
        <w:tc>
          <w:tcPr>
            <w:tcW w:w="7333" w:type="dxa"/>
            <w:tcBorders>
              <w:top w:val="single" w:color="auto" w:sz="4" w:space="0"/>
              <w:left w:val="single" w:color="auto" w:sz="4" w:space="0"/>
              <w:right w:val="single" w:color="auto" w:sz="4" w:space="0"/>
            </w:tcBorders>
            <w:shd w:val="clear" w:color="auto" w:fill="FFFFFF"/>
            <w:vAlign w:val="bottom"/>
          </w:tcPr>
          <w:p>
            <w:pPr>
              <w:pStyle w:val="22"/>
              <w:tabs>
                <w:tab w:val="left" w:pos="3102"/>
              </w:tabs>
              <w:spacing w:line="240" w:lineRule="auto"/>
              <w:ind w:firstLine="0"/>
              <w:jc w:val="right"/>
              <w:rPr>
                <w:sz w:val="78"/>
                <w:szCs w:val="78"/>
              </w:rPr>
            </w:pPr>
            <w:r>
              <w:t>事迹</w:t>
            </w:r>
            <w:r>
              <w:tab/>
            </w:r>
          </w:p>
        </w:tc>
      </w:tr>
      <w:tr>
        <w:tblPrEx>
          <w:tblCellMar>
            <w:top w:w="0" w:type="dxa"/>
            <w:left w:w="10" w:type="dxa"/>
            <w:bottom w:w="0" w:type="dxa"/>
            <w:right w:w="10" w:type="dxa"/>
          </w:tblCellMar>
        </w:tblPrEx>
        <w:trPr>
          <w:trHeight w:val="1341" w:hRule="exact"/>
          <w:jc w:val="center"/>
        </w:trPr>
        <w:tc>
          <w:tcPr>
            <w:tcW w:w="1987" w:type="dxa"/>
            <w:tcBorders>
              <w:top w:val="single" w:color="auto" w:sz="4" w:space="0"/>
              <w:left w:val="single" w:color="auto" w:sz="4" w:space="0"/>
            </w:tcBorders>
            <w:shd w:val="clear" w:color="auto" w:fill="FFFFFF"/>
            <w:vAlign w:val="center"/>
          </w:tcPr>
          <w:p>
            <w:pPr>
              <w:pStyle w:val="22"/>
              <w:spacing w:after="140" w:line="240" w:lineRule="auto"/>
              <w:ind w:firstLine="0"/>
              <w:jc w:val="center"/>
            </w:pPr>
            <w:r>
              <w:t>胡厥文</w:t>
            </w:r>
          </w:p>
          <w:p>
            <w:pPr>
              <w:pStyle w:val="22"/>
              <w:spacing w:line="240" w:lineRule="auto"/>
              <w:ind w:firstLine="260"/>
            </w:pPr>
            <w:r>
              <w:rPr>
                <w:lang w:val="en-US" w:eastAsia="en-US" w:bidi="en-US"/>
              </w:rPr>
              <w:t>(1895-1989)</w:t>
            </w:r>
          </w:p>
        </w:tc>
        <w:tc>
          <w:tcPr>
            <w:tcW w:w="7333" w:type="dxa"/>
            <w:tcBorders>
              <w:top w:val="single" w:color="auto" w:sz="4" w:space="0"/>
              <w:left w:val="single" w:color="auto" w:sz="4" w:space="0"/>
              <w:right w:val="single" w:color="auto" w:sz="4" w:space="0"/>
            </w:tcBorders>
            <w:shd w:val="clear" w:color="auto" w:fill="FFFFFF"/>
          </w:tcPr>
          <w:p>
            <w:pPr>
              <w:pStyle w:val="22"/>
              <w:tabs>
                <w:tab w:val="left" w:pos="6939"/>
              </w:tabs>
              <w:spacing w:line="451" w:lineRule="exact"/>
              <w:ind w:firstLine="0"/>
            </w:pPr>
            <w:r>
              <w:t>以实业救国为己任，创办了新民机器厂、合作五金厂、长城砖厂等企业。抗战爆发蓄须以记国难，赶制弹药支援十九路军抗战， 组织工厂内迁，投入各项抗日救亡活动.</w:t>
            </w:r>
            <w:r>
              <w:tab/>
            </w:r>
            <w:r>
              <w:rPr>
                <w:color w:val="85736E"/>
              </w:rPr>
              <w:t>，</w:t>
            </w:r>
          </w:p>
        </w:tc>
      </w:tr>
      <w:tr>
        <w:tblPrEx>
          <w:tblCellMar>
            <w:top w:w="0" w:type="dxa"/>
            <w:left w:w="10" w:type="dxa"/>
            <w:bottom w:w="0" w:type="dxa"/>
            <w:right w:w="10" w:type="dxa"/>
          </w:tblCellMar>
        </w:tblPrEx>
        <w:trPr>
          <w:trHeight w:val="1346" w:hRule="exact"/>
          <w:jc w:val="center"/>
        </w:trPr>
        <w:tc>
          <w:tcPr>
            <w:tcW w:w="1987" w:type="dxa"/>
            <w:tcBorders>
              <w:top w:val="single" w:color="auto" w:sz="4" w:space="0"/>
              <w:left w:val="single" w:color="auto" w:sz="4" w:space="0"/>
            </w:tcBorders>
            <w:shd w:val="clear" w:color="auto" w:fill="FFFFFF"/>
            <w:vAlign w:val="center"/>
          </w:tcPr>
          <w:p>
            <w:pPr>
              <w:pStyle w:val="22"/>
              <w:spacing w:after="160" w:line="240" w:lineRule="auto"/>
              <w:ind w:firstLine="0"/>
              <w:jc w:val="center"/>
            </w:pPr>
            <w:r>
              <w:t>范旭东</w:t>
            </w:r>
          </w:p>
          <w:p>
            <w:pPr>
              <w:pStyle w:val="22"/>
              <w:spacing w:line="240" w:lineRule="auto"/>
              <w:ind w:firstLine="260"/>
            </w:pPr>
            <w:r>
              <w:rPr>
                <w:lang w:val="en-US" w:eastAsia="en-US" w:bidi="en-US"/>
              </w:rPr>
              <w:t>(1883-1945)</w:t>
            </w:r>
          </w:p>
        </w:tc>
        <w:tc>
          <w:tcPr>
            <w:tcW w:w="7333" w:type="dxa"/>
            <w:tcBorders>
              <w:top w:val="single" w:color="auto" w:sz="4" w:space="0"/>
              <w:left w:val="single" w:color="auto" w:sz="4" w:space="0"/>
              <w:right w:val="single" w:color="auto" w:sz="4" w:space="0"/>
            </w:tcBorders>
            <w:shd w:val="clear" w:color="auto" w:fill="FFFFFF"/>
            <w:vAlign w:val="bottom"/>
          </w:tcPr>
          <w:p>
            <w:pPr>
              <w:pStyle w:val="22"/>
              <w:spacing w:line="446" w:lineRule="exact"/>
              <w:ind w:firstLine="0"/>
            </w:pPr>
            <w:r>
              <w:t>为实现实业救国的人生理想，创办了久大精盐公司、永利制碱公司等企业机构，将酬金捐给研究社做日常经费，成就了世界著名化学家侯德榜。去世后竟没有留下私产。</w:t>
            </w:r>
          </w:p>
        </w:tc>
      </w:tr>
      <w:tr>
        <w:tblPrEx>
          <w:tblCellMar>
            <w:top w:w="0" w:type="dxa"/>
            <w:left w:w="10" w:type="dxa"/>
            <w:bottom w:w="0" w:type="dxa"/>
            <w:right w:w="10" w:type="dxa"/>
          </w:tblCellMar>
        </w:tblPrEx>
        <w:trPr>
          <w:trHeight w:val="893" w:hRule="exact"/>
          <w:jc w:val="center"/>
        </w:trPr>
        <w:tc>
          <w:tcPr>
            <w:tcW w:w="1987" w:type="dxa"/>
            <w:tcBorders>
              <w:top w:val="single" w:color="auto" w:sz="4" w:space="0"/>
              <w:left w:val="single" w:color="auto" w:sz="4" w:space="0"/>
            </w:tcBorders>
            <w:shd w:val="clear" w:color="auto" w:fill="FFFFFF"/>
            <w:vAlign w:val="bottom"/>
          </w:tcPr>
          <w:p>
            <w:pPr>
              <w:pStyle w:val="22"/>
              <w:spacing w:after="160" w:line="240" w:lineRule="auto"/>
              <w:ind w:firstLine="600"/>
            </w:pPr>
            <w:r>
              <w:t>刘鸿生</w:t>
            </w:r>
          </w:p>
          <w:p>
            <w:pPr>
              <w:pStyle w:val="22"/>
              <w:spacing w:line="240" w:lineRule="auto"/>
              <w:ind w:firstLine="260"/>
            </w:pPr>
            <w:r>
              <w:rPr>
                <w:lang w:val="en-US" w:eastAsia="en-US" w:bidi="en-US"/>
              </w:rPr>
              <w:t>(1888-1956)</w:t>
            </w:r>
          </w:p>
        </w:tc>
        <w:tc>
          <w:tcPr>
            <w:tcW w:w="7333" w:type="dxa"/>
            <w:tcBorders>
              <w:top w:val="single" w:color="auto" w:sz="4" w:space="0"/>
              <w:left w:val="single" w:color="auto" w:sz="4" w:space="0"/>
              <w:right w:val="single" w:color="auto" w:sz="4" w:space="0"/>
            </w:tcBorders>
            <w:shd w:val="clear" w:color="auto" w:fill="FFFFFF"/>
            <w:vAlign w:val="bottom"/>
          </w:tcPr>
          <w:p>
            <w:pPr>
              <w:pStyle w:val="22"/>
              <w:spacing w:line="434" w:lineRule="exact"/>
              <w:ind w:firstLine="0"/>
            </w:pPr>
            <w:r>
              <w:t>早年推销煤炭时就认识到：</w:t>
            </w:r>
            <w:r>
              <w:rPr>
                <w:lang w:val="zh-CN" w:eastAsia="zh-CN" w:bidi="zh-CN"/>
              </w:rPr>
              <w:t>“一人</w:t>
            </w:r>
            <w:r>
              <w:t>享福，万人受苦的日子不太平</w:t>
            </w:r>
            <w:r>
              <w:rPr>
                <w:rFonts w:hint="eastAsia"/>
                <w:lang w:eastAsia="zh-CN"/>
              </w:rPr>
              <w:t>”。</w:t>
            </w:r>
            <w:r>
              <w:t>他的名言是“最愚蠢的人，就是想一个人发财，叫别人都</w:t>
            </w:r>
            <w:r>
              <w:rPr>
                <w:lang w:val="zh-CN" w:eastAsia="zh-CN" w:bidi="zh-CN"/>
              </w:rPr>
              <w:t>倒霉</w:t>
            </w:r>
            <w:r>
              <w:rPr>
                <w:rFonts w:hint="eastAsia"/>
                <w:lang w:val="zh-CN" w:eastAsia="zh-CN" w:bidi="zh-CN"/>
              </w:rPr>
              <w:t>”</w:t>
            </w:r>
            <w:r>
              <w:rPr>
                <w:rFonts w:hint="eastAsia"/>
                <w:i/>
                <w:iCs/>
                <w:lang w:val="zh-CN" w:eastAsia="zh-CN" w:bidi="zh-CN"/>
              </w:rPr>
              <w:t>。</w:t>
            </w:r>
          </w:p>
        </w:tc>
      </w:tr>
      <w:tr>
        <w:tblPrEx>
          <w:tblCellMar>
            <w:top w:w="0" w:type="dxa"/>
            <w:left w:w="10" w:type="dxa"/>
            <w:bottom w:w="0" w:type="dxa"/>
            <w:right w:w="10" w:type="dxa"/>
          </w:tblCellMar>
        </w:tblPrEx>
        <w:trPr>
          <w:trHeight w:val="883" w:hRule="exact"/>
          <w:jc w:val="center"/>
        </w:trPr>
        <w:tc>
          <w:tcPr>
            <w:tcW w:w="1987" w:type="dxa"/>
            <w:tcBorders>
              <w:top w:val="single" w:color="auto" w:sz="4" w:space="0"/>
              <w:left w:val="single" w:color="auto" w:sz="4" w:space="0"/>
            </w:tcBorders>
            <w:shd w:val="clear" w:color="auto" w:fill="FFFFFF"/>
            <w:vAlign w:val="bottom"/>
          </w:tcPr>
          <w:p>
            <w:pPr>
              <w:pStyle w:val="22"/>
              <w:spacing w:after="140" w:line="240" w:lineRule="auto"/>
              <w:ind w:firstLine="0"/>
              <w:jc w:val="center"/>
            </w:pPr>
            <w:r>
              <w:t>张春</w:t>
            </w:r>
          </w:p>
          <w:p>
            <w:pPr>
              <w:pStyle w:val="22"/>
              <w:spacing w:line="240" w:lineRule="auto"/>
              <w:ind w:firstLine="260"/>
            </w:pPr>
            <w:r>
              <w:rPr>
                <w:lang w:val="en-US" w:eastAsia="en-US" w:bidi="en-US"/>
              </w:rPr>
              <w:t>(1853-1926)</w:t>
            </w:r>
          </w:p>
        </w:tc>
        <w:tc>
          <w:tcPr>
            <w:tcW w:w="7333" w:type="dxa"/>
            <w:tcBorders>
              <w:top w:val="single" w:color="auto" w:sz="4" w:space="0"/>
              <w:left w:val="single" w:color="auto" w:sz="4" w:space="0"/>
              <w:right w:val="single" w:color="auto" w:sz="4" w:space="0"/>
            </w:tcBorders>
            <w:shd w:val="clear" w:color="auto" w:fill="FFFFFF"/>
            <w:vAlign w:val="bottom"/>
          </w:tcPr>
          <w:p>
            <w:pPr>
              <w:pStyle w:val="22"/>
              <w:tabs>
                <w:tab w:val="left" w:pos="6805"/>
              </w:tabs>
              <w:spacing w:line="429" w:lineRule="exact"/>
              <w:ind w:firstLine="0"/>
            </w:pPr>
            <w:r>
              <w:t>创办了一系列学校，并致力于家乡南通的城市建设，大生纱厂的很多利润都被他投入到了公共事业上</w:t>
            </w:r>
            <w:r>
              <w:rPr>
                <w:rFonts w:hint="eastAsia"/>
                <w:lang w:eastAsia="zh-CN"/>
              </w:rPr>
              <w:t>。</w:t>
            </w:r>
            <w:r>
              <w:tab/>
            </w:r>
          </w:p>
        </w:tc>
      </w:tr>
      <w:tr>
        <w:tblPrEx>
          <w:tblCellMar>
            <w:top w:w="0" w:type="dxa"/>
            <w:left w:w="10" w:type="dxa"/>
            <w:bottom w:w="0" w:type="dxa"/>
            <w:right w:w="10" w:type="dxa"/>
          </w:tblCellMar>
        </w:tblPrEx>
        <w:trPr>
          <w:trHeight w:val="1287" w:hRule="exact"/>
          <w:jc w:val="center"/>
        </w:trPr>
        <w:tc>
          <w:tcPr>
            <w:tcW w:w="1987" w:type="dxa"/>
            <w:tcBorders>
              <w:top w:val="single" w:color="auto" w:sz="4" w:space="0"/>
              <w:left w:val="single" w:color="auto" w:sz="4" w:space="0"/>
              <w:bottom w:val="nil"/>
            </w:tcBorders>
            <w:shd w:val="clear" w:color="auto" w:fill="FFFFFF"/>
            <w:vAlign w:val="center"/>
          </w:tcPr>
          <w:p>
            <w:pPr>
              <w:pStyle w:val="22"/>
              <w:spacing w:after="140" w:line="240" w:lineRule="auto"/>
              <w:ind w:firstLine="600"/>
            </w:pPr>
            <w:r>
              <w:t>穆藕初</w:t>
            </w:r>
          </w:p>
          <w:p>
            <w:pPr>
              <w:pStyle w:val="22"/>
              <w:spacing w:line="240" w:lineRule="auto"/>
              <w:ind w:firstLine="340"/>
            </w:pPr>
            <w:r>
              <w:rPr>
                <w:lang w:val="en-US" w:eastAsia="en-US" w:bidi="en-US"/>
              </w:rPr>
              <w:t>(1876-1943)</w:t>
            </w:r>
          </w:p>
        </w:tc>
        <w:tc>
          <w:tcPr>
            <w:tcW w:w="7333" w:type="dxa"/>
            <w:tcBorders>
              <w:top w:val="single" w:color="auto" w:sz="4" w:space="0"/>
              <w:left w:val="single" w:color="auto" w:sz="4" w:space="0"/>
              <w:bottom w:val="nil"/>
              <w:right w:val="single" w:color="auto" w:sz="4" w:space="0"/>
            </w:tcBorders>
            <w:shd w:val="clear" w:color="auto" w:fill="FFFFFF"/>
            <w:vAlign w:val="bottom"/>
          </w:tcPr>
          <w:p>
            <w:pPr>
              <w:pStyle w:val="22"/>
              <w:spacing w:line="424" w:lineRule="exact"/>
              <w:ind w:firstLine="0"/>
            </w:pPr>
            <w:r>
              <w:t>1915年筹办了上海德大纱厂，率先引入美国最新的科学管理法， 并使</w:t>
            </w:r>
            <w:r>
              <w:rPr>
                <w:rFonts w:hint="eastAsia"/>
                <w:lang w:val="en-US" w:eastAsia="zh-CN"/>
              </w:rPr>
              <w:t>之</w:t>
            </w:r>
            <w:r>
              <w:t>本土化。一年后，德大生产的柿纱在北京商品陈列质量比赛中获得第</w:t>
            </w:r>
            <w:r>
              <w:rPr>
                <w:lang w:val="zh-CN" w:eastAsia="zh-CN" w:bidi="zh-CN"/>
              </w:rPr>
              <w:t>一名。</w:t>
            </w:r>
          </w:p>
        </w:tc>
      </w:tr>
      <w:tr>
        <w:tblPrEx>
          <w:tblCellMar>
            <w:top w:w="0" w:type="dxa"/>
            <w:left w:w="10" w:type="dxa"/>
            <w:bottom w:w="0" w:type="dxa"/>
            <w:right w:w="10" w:type="dxa"/>
          </w:tblCellMar>
        </w:tblPrEx>
        <w:trPr>
          <w:trHeight w:val="2111" w:hRule="exact"/>
          <w:jc w:val="center"/>
        </w:trPr>
        <w:tc>
          <w:tcPr>
            <w:tcW w:w="9320" w:type="dxa"/>
            <w:gridSpan w:val="2"/>
            <w:tcBorders>
              <w:top w:val="nil"/>
              <w:left w:val="nil"/>
              <w:bottom w:val="nil"/>
              <w:right w:val="nil"/>
            </w:tcBorders>
            <w:shd w:val="clear" w:color="auto" w:fill="FFFFFF"/>
            <w:vAlign w:val="bottom"/>
          </w:tcPr>
          <w:p>
            <w:pPr>
              <w:pStyle w:val="22"/>
              <w:spacing w:line="454" w:lineRule="exact"/>
              <w:ind w:firstLine="1620" w:firstLineChars="675"/>
            </w:pPr>
            <w:r>
              <w:t>——据马天宇《中国企业家前传——近代民族资本家中的家国情怀》整理</w:t>
            </w:r>
          </w:p>
          <w:p>
            <w:pPr>
              <w:pStyle w:val="22"/>
              <w:spacing w:line="454" w:lineRule="exact"/>
              <w:rPr>
                <w:lang w:eastAsia="zh-CN"/>
              </w:rPr>
            </w:pPr>
            <w:r>
              <w:t xml:space="preserve"> 从材料中提取两条或两条以上信息，拟定一个论题，并结合所学知识加以阐述</w:t>
            </w:r>
            <w:r>
              <w:rPr>
                <w:rFonts w:hint="eastAsia"/>
                <w:lang w:eastAsia="zh-CN"/>
              </w:rPr>
              <w:t>。</w:t>
            </w:r>
          </w:p>
          <w:p>
            <w:pPr>
              <w:pStyle w:val="22"/>
              <w:tabs>
                <w:tab w:val="left" w:pos="6465"/>
                <w:tab w:val="left" w:pos="8285"/>
              </w:tabs>
              <w:spacing w:after="520" w:line="240" w:lineRule="auto"/>
              <w:ind w:firstLine="0"/>
            </w:pPr>
            <w:r>
              <w:t>（要求：论题明确，持论有据，表述清晰。）</w:t>
            </w:r>
            <w:r>
              <w:tab/>
            </w:r>
          </w:p>
          <w:p>
            <w:pPr>
              <w:pStyle w:val="22"/>
              <w:tabs>
                <w:tab w:val="left" w:pos="1810"/>
                <w:tab w:val="left" w:pos="2451"/>
                <w:tab w:val="left" w:pos="3132"/>
              </w:tabs>
              <w:spacing w:after="260" w:line="240" w:lineRule="auto"/>
              <w:ind w:firstLine="0"/>
              <w:jc w:val="center"/>
              <w:rPr>
                <w:sz w:val="10"/>
                <w:szCs w:val="10"/>
              </w:rPr>
            </w:pPr>
            <w:r>
              <w:rPr>
                <w:rFonts w:ascii="Times New Roman" w:hAnsi="Times New Roman" w:eastAsia="Times New Roman" w:cs="Times New Roman"/>
                <w:i/>
                <w:iCs/>
                <w:sz w:val="10"/>
                <w:szCs w:val="10"/>
                <w:lang w:val="en-US" w:eastAsia="en-US" w:bidi="en-US"/>
              </w:rPr>
              <w:t>.'</w:t>
            </w:r>
            <w:r>
              <w:rPr>
                <w:rFonts w:ascii="Times New Roman" w:hAnsi="Times New Roman" w:eastAsia="Times New Roman" w:cs="Times New Roman"/>
                <w:i/>
                <w:iCs/>
                <w:sz w:val="10"/>
                <w:szCs w:val="10"/>
                <w:lang w:val="en-US" w:eastAsia="en-US" w:bidi="en-US"/>
              </w:rPr>
              <w:tab/>
            </w:r>
          </w:p>
        </w:tc>
      </w:tr>
    </w:tbl>
    <w:p>
      <w:pPr>
        <w:pStyle w:val="12"/>
        <w:tabs>
          <w:tab w:val="left" w:pos="476"/>
          <w:tab w:val="left" w:pos="6069"/>
          <w:tab w:val="left" w:pos="8477"/>
        </w:tabs>
        <w:spacing w:line="240" w:lineRule="auto"/>
        <w:ind w:right="800" w:firstLine="0"/>
        <w:rPr>
          <w:lang w:val="en-US" w:eastAsia="zh-CN"/>
        </w:rPr>
      </w:pPr>
      <w:bookmarkStart w:id="31" w:name="bookmark34"/>
      <w:bookmarkEnd w:id="31"/>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pPr>
      <w:r>
        <w:rPr>
          <w:rFonts w:hint="eastAsia"/>
          <w:lang w:val="en-US" w:eastAsia="zh-CN"/>
        </w:rPr>
        <w:t>18.</w:t>
      </w:r>
      <w:r>
        <w:t>（14分）阅读材料，完成下列要求。</w:t>
      </w:r>
    </w:p>
    <w:p>
      <w:pPr>
        <w:pStyle w:val="12"/>
        <w:tabs>
          <w:tab w:val="left" w:pos="6069"/>
        </w:tabs>
        <w:spacing w:line="432" w:lineRule="exact"/>
        <w:ind w:left="460" w:firstLine="480"/>
      </w:pPr>
      <w:r>
        <w:t>材料</w:t>
      </w:r>
      <w:r>
        <w:rPr>
          <w:rFonts w:hint="eastAsia"/>
          <w:lang w:val="en-US" w:eastAsia="zh-CN"/>
        </w:rPr>
        <w:t xml:space="preserve">一  </w:t>
      </w:r>
      <w:r>
        <w:t>17世纪晚期以后，英国上层社会对亚洲棉纺织品</w:t>
      </w:r>
      <w:r>
        <w:rPr>
          <w:lang w:val="zh-CN" w:eastAsia="zh-CN" w:bidi="zh-CN"/>
        </w:rPr>
        <w:t>和瓷器</w:t>
      </w:r>
      <w:r>
        <w:t>等奢侈的巨大消费需求，极大刺激了欧亚贸易的发展，也推动了英国本土制造业的技术革。</w:t>
      </w:r>
      <w:r>
        <w:rPr>
          <w:lang w:val="zh-CN" w:eastAsia="zh-CN" w:bidi="zh-CN"/>
        </w:rPr>
        <w:t>中国</w:t>
      </w:r>
      <w:r>
        <w:t>的瓷器、印度的印花布等奢侈品在英国经历了引进、仿制和创新的过程，最终完成</w:t>
      </w:r>
      <w:r>
        <w:rPr>
          <w:rFonts w:hint="eastAsia"/>
          <w:lang w:eastAsia="zh-CN"/>
        </w:rPr>
        <w:t>”</w:t>
      </w:r>
      <w:r>
        <w:t>进口替代</w:t>
      </w:r>
      <w:r>
        <w:rPr>
          <w:rFonts w:hint="eastAsia"/>
          <w:lang w:eastAsia="zh-CN"/>
        </w:rPr>
        <w:t>”</w:t>
      </w:r>
      <w:r>
        <w:t>。同时，英国政府重视与支持制造业。据统计，</w:t>
      </w:r>
      <w:r>
        <w:rPr>
          <w:lang w:val="en-US" w:eastAsia="en-US" w:bidi="en-US"/>
        </w:rPr>
        <w:t>1700</w:t>
      </w:r>
      <w:r>
        <w:rPr>
          <w:rFonts w:hint="eastAsia"/>
          <w:lang w:val="en-US" w:eastAsia="zh-CN" w:bidi="en-US"/>
        </w:rPr>
        <w:t>—1</w:t>
      </w:r>
      <w:r>
        <w:rPr>
          <w:lang w:val="en-US" w:eastAsia="en-US" w:bidi="en-US"/>
        </w:rPr>
        <w:t>820</w:t>
      </w:r>
      <w:r>
        <w:t>年，英国仿制亚洲商品专利申请件数不断增加。18世纪中期以后，英国陶瓷业快速崛起，给清代中国的外销瓷器带来极大冲击。</w:t>
      </w:r>
      <w:r>
        <w:tab/>
      </w:r>
      <w:r>
        <w:rPr>
          <w:color w:val="AD9C97"/>
          <w:lang w:val="en-US" w:eastAsia="en-US" w:bidi="en-US"/>
        </w:rPr>
        <w:t>f</w:t>
      </w:r>
    </w:p>
    <w:p>
      <w:pPr>
        <w:pStyle w:val="12"/>
        <w:spacing w:line="240" w:lineRule="auto"/>
        <w:ind w:firstLine="0"/>
        <w:jc w:val="right"/>
        <w:sectPr>
          <w:footerReference r:id="rId8" w:type="first"/>
          <w:footerReference r:id="rId7" w:type="default"/>
          <w:pgSz w:w="11900" w:h="16840"/>
          <w:pgMar w:top="720" w:right="720" w:bottom="720" w:left="720" w:header="0" w:footer="3" w:gutter="0"/>
          <w:cols w:space="720" w:num="1"/>
          <w:titlePg/>
          <w:docGrid w:linePitch="360" w:charSpace="0"/>
        </w:sectPr>
      </w:pPr>
      <w:r>
        <w:rPr>
          <w:lang w:val="zh-CN" w:eastAsia="zh-CN" w:bidi="zh-CN"/>
        </w:rPr>
        <w:t>——</w:t>
      </w:r>
      <w:r>
        <w:t>摘编自曹瑞臣《制造业铺就英国世界工厂之路》</w:t>
      </w:r>
    </w:p>
    <w:p>
      <w:pPr>
        <w:pStyle w:val="12"/>
        <w:spacing w:line="476" w:lineRule="exact"/>
        <w:ind w:firstLine="540"/>
        <w:jc w:val="both"/>
      </w:pPr>
      <w:r>
        <w:t>材料二 在中国渐渐退出低技术、廉价劳工生产后，谁有能力成为下一个“世界工厂”？德勤的一项调查显示，印度最被看好。莫迪上台后通过改革劳动法和税收，简化审批程序，吸引外资企业在印度投资建厂，针对从外国进口的电子零组件、半成品征收较高的关税，借此鼓励以本土制造替代进口。然而，印度发展制造业需要跨越的障碍众多。基础设施落后、营商环境恶劣、工</w:t>
      </w:r>
      <w:r>
        <w:rPr>
          <w:lang w:val="zh-CN" w:eastAsia="zh-CN" w:bidi="zh-CN"/>
        </w:rPr>
        <w:t>作效率</w:t>
      </w:r>
      <w:r>
        <w:t>低下、合同履行薄弱等多年痼疾，令外来投资者</w:t>
      </w:r>
      <w:r>
        <w:rPr>
          <w:lang w:val="zh-CN" w:eastAsia="zh-CN" w:bidi="zh-CN"/>
        </w:rPr>
        <w:t>“胆成心</w:t>
      </w:r>
      <w:r>
        <w:t>惊”。另外，印度国民贫富差距悬殊，消费力也明显不足。</w:t>
      </w:r>
    </w:p>
    <w:p>
      <w:pPr>
        <w:pStyle w:val="12"/>
        <w:spacing w:line="476" w:lineRule="exact"/>
        <w:ind w:right="160" w:firstLine="0"/>
        <w:jc w:val="right"/>
      </w:pPr>
      <w:r>
        <w:rPr>
          <w:lang w:val="zh-CN" w:eastAsia="zh-CN" w:bidi="zh-CN"/>
        </w:rPr>
        <w:t>——</w:t>
      </w:r>
      <w:r>
        <w:t>摘编自袁源《印度——下一个</w:t>
      </w:r>
      <w:r>
        <w:rPr>
          <w:lang w:val="zh-CN" w:eastAsia="zh-CN" w:bidi="zh-CN"/>
        </w:rPr>
        <w:t>“世</w:t>
      </w:r>
      <w:r>
        <w:t>界工厂”》</w:t>
      </w:r>
    </w:p>
    <w:p>
      <w:pPr>
        <w:pStyle w:val="12"/>
        <w:tabs>
          <w:tab w:val="left" w:pos="1091"/>
        </w:tabs>
        <w:spacing w:line="434" w:lineRule="exact"/>
        <w:ind w:left="900" w:hanging="360"/>
        <w:jc w:val="both"/>
      </w:pPr>
      <w:bookmarkStart w:id="32" w:name="bookmark35"/>
      <w:r>
        <w:t>（</w:t>
      </w:r>
      <w:bookmarkEnd w:id="32"/>
      <w:r>
        <w:t>1）</w:t>
      </w:r>
      <w:r>
        <w:tab/>
      </w:r>
      <w:r>
        <w:t>据材料一并结合所学知识，以陶瓷业为例，简析英国成为世界工厂的原因。（5 分）</w:t>
      </w:r>
    </w:p>
    <w:p>
      <w:pPr>
        <w:pStyle w:val="12"/>
        <w:tabs>
          <w:tab w:val="left" w:pos="1091"/>
        </w:tabs>
        <w:spacing w:after="160" w:line="408" w:lineRule="exact"/>
        <w:ind w:left="900" w:hanging="360"/>
        <w:jc w:val="both"/>
      </w:pPr>
      <w:bookmarkStart w:id="33" w:name="bookmark36"/>
      <w:r>
        <w:t>（</w:t>
      </w:r>
      <w:bookmarkEnd w:id="33"/>
      <w:r>
        <w:t>2）</w:t>
      </w:r>
      <w:r>
        <w:tab/>
      </w:r>
      <w:r>
        <w:t>据材料二并结合所学知识，指出印度最有可能成为下一个</w:t>
      </w:r>
      <w:r>
        <w:rPr>
          <w:lang w:val="zh-CN" w:eastAsia="zh-CN" w:bidi="zh-CN"/>
        </w:rPr>
        <w:t>“世界</w:t>
      </w:r>
      <w:r>
        <w:t>工厂”的可能性及不足</w:t>
      </w:r>
      <w:r>
        <w:rPr>
          <w:rFonts w:hint="eastAsia"/>
          <w:lang w:val="en-US" w:eastAsia="zh-CN" w:bidi="en-US"/>
        </w:rPr>
        <w:t>。</w:t>
      </w:r>
      <w:r>
        <w:t>（7分）</w:t>
      </w:r>
    </w:p>
    <w:p>
      <w:pPr>
        <w:pStyle w:val="12"/>
        <w:tabs>
          <w:tab w:val="left" w:pos="1071"/>
        </w:tabs>
        <w:spacing w:after="60" w:line="240" w:lineRule="auto"/>
        <w:ind w:firstLine="520"/>
        <w:jc w:val="both"/>
      </w:pPr>
      <w:bookmarkStart w:id="34" w:name="bookmark37"/>
      <w:r>
        <w:t>（</w:t>
      </w:r>
      <w:bookmarkEnd w:id="34"/>
      <w:r>
        <w:t>3）</w:t>
      </w:r>
      <w:r>
        <w:tab/>
      </w:r>
      <w:r>
        <w:t>综合以上材料，概括成为</w:t>
      </w:r>
      <w:r>
        <w:rPr>
          <w:lang w:val="zh-CN" w:eastAsia="zh-CN" w:bidi="zh-CN"/>
        </w:rPr>
        <w:t>“世界</w:t>
      </w:r>
      <w:r>
        <w:t>工厂”应具备的条件。（2分）</w:t>
      </w:r>
    </w:p>
    <w:p>
      <w:pPr>
        <w:pStyle w:val="12"/>
        <w:spacing w:line="449" w:lineRule="exact"/>
        <w:ind w:firstLine="0"/>
        <w:rPr>
          <w:lang w:val="en-US" w:eastAsia="zh-CN" w:bidi="en-US"/>
        </w:rPr>
      </w:pPr>
      <w:bookmarkStart w:id="35" w:name="bookmark38"/>
      <w:bookmarkEnd w:id="35"/>
    </w:p>
    <w:p>
      <w:pPr>
        <w:pStyle w:val="12"/>
        <w:spacing w:line="449" w:lineRule="exact"/>
        <w:ind w:firstLine="0"/>
      </w:pPr>
      <w:r>
        <w:rPr>
          <w:rFonts w:hint="eastAsia"/>
          <w:lang w:val="en-US" w:eastAsia="zh-CN" w:bidi="en-US"/>
        </w:rPr>
        <w:t>19.</w:t>
      </w:r>
      <w:r>
        <w:rPr>
          <w:lang w:val="en-US" w:eastAsia="en-US" w:bidi="en-US"/>
        </w:rPr>
        <w:t>（15</w:t>
      </w:r>
      <w:r>
        <w:t>分）阅读材料，完成下列要求。</w:t>
      </w:r>
    </w:p>
    <w:p>
      <w:pPr>
        <w:pStyle w:val="12"/>
        <w:spacing w:line="449" w:lineRule="exact"/>
        <w:ind w:firstLine="700"/>
        <w:jc w:val="both"/>
      </w:pPr>
      <w:r>
        <w:t>材料一 20世纪60年代末期，所有北约国家都不得不面对环境恶化带来的挑找。 随着冷</w:t>
      </w:r>
      <w:r>
        <w:rPr>
          <w:lang w:val="zh-CN" w:eastAsia="zh-CN" w:bidi="zh-CN"/>
        </w:rPr>
        <w:t>成缓和</w:t>
      </w:r>
      <w:r>
        <w:t xml:space="preserve">时代的到来，欧洲公众对北约缺乏好感。出于对国际国内因素的综合考虑,1969年美国推动北约组建了 </w:t>
      </w:r>
      <w:r>
        <w:rPr>
          <w:lang w:val="zh-CN" w:eastAsia="zh-CN" w:bidi="zh-CN"/>
        </w:rPr>
        <w:t>“现代</w:t>
      </w:r>
      <w:r>
        <w:t>社会挑战委员会”。美国提出委员会不能重复世 界卫生组织等国际组织已在进行的各种应对空气污染尝试的项目，而应起到补充作用。 1972年英国、法国、意大利、联邦德国、荷兰和美国在北约现代委员会全体会议上同 意在多边框架下进行低污染动力系统开发项目的合作，同意每年举行专题研讨会，就本国最新的研究和进展保持沟通。</w:t>
      </w:r>
    </w:p>
    <w:p>
      <w:pPr>
        <w:pStyle w:val="12"/>
        <w:spacing w:after="60" w:line="452" w:lineRule="exact"/>
        <w:ind w:firstLine="700"/>
        <w:jc w:val="both"/>
      </w:pPr>
      <w:r>
        <w:t>材料二 现代社会挑战委员会积极介入社会领域尤其是环保领域的事务，这被视为北约除防卫协作和政治协商功能之外，的</w:t>
      </w:r>
      <w:r>
        <w:rPr>
          <w:lang w:val="zh-CN" w:eastAsia="zh-CN" w:bidi="zh-CN"/>
        </w:rPr>
        <w:t>“第三</w:t>
      </w:r>
      <w:r>
        <w:t>维”。委员会开展的试点研究及成果， 被许多国家起草控制空气污染立法时藁用，对推动跨大西洋的环保合作，推动科学合 理防治空气污染问题的解决发挥了积极作用。其间，北约盟国特别是美国尝试推动同 苏联在环保领域的合作，在一定程度上缓和了冷战对峙的局面。但是，美苏之间的双 边合作并没有全面地实现东西方、南北方之间的环保合作，全球范围的环保运动仍然任重而</w:t>
      </w:r>
      <w:r>
        <w:rPr>
          <w:lang w:val="zh-CN" w:eastAsia="zh-CN" w:bidi="zh-CN"/>
        </w:rPr>
        <w:t>道远。</w:t>
      </w:r>
    </w:p>
    <w:p>
      <w:pPr>
        <w:pStyle w:val="12"/>
        <w:spacing w:line="240" w:lineRule="auto"/>
        <w:ind w:right="160" w:firstLine="0"/>
        <w:jc w:val="right"/>
      </w:pPr>
      <w:r>
        <w:rPr>
          <w:rFonts w:hint="eastAsia"/>
          <w:lang w:val="en-US" w:eastAsia="zh-CN"/>
        </w:rPr>
        <w:t xml:space="preserve"> </w:t>
      </w:r>
      <w:r>
        <w:t>——以上材料均摘编自张勇安、</w:t>
      </w:r>
      <w:r>
        <w:rPr>
          <w:rFonts w:hint="eastAsia"/>
          <w:lang w:val="en-US" w:eastAsia="zh-CN"/>
        </w:rPr>
        <w:t>乔</w:t>
      </w:r>
      <w:r>
        <w:t>晶花《北约与跨大西洋的空气污染治</w:t>
      </w:r>
      <w:r>
        <w:rPr>
          <w:lang w:val="zh-CN" w:eastAsia="zh-CN" w:bidi="zh-CN"/>
        </w:rPr>
        <w:t>理》</w:t>
      </w:r>
    </w:p>
    <w:p>
      <w:pPr>
        <w:pStyle w:val="12"/>
        <w:tabs>
          <w:tab w:val="left" w:pos="974"/>
        </w:tabs>
        <w:spacing w:after="160" w:line="452" w:lineRule="exact"/>
        <w:ind w:firstLine="400"/>
        <w:jc w:val="both"/>
      </w:pPr>
      <w:bookmarkStart w:id="36" w:name="bookmark39"/>
      <w:r>
        <w:t>（</w:t>
      </w:r>
      <w:bookmarkEnd w:id="36"/>
      <w:r>
        <w:t>1）</w:t>
      </w:r>
      <w:r>
        <w:tab/>
      </w:r>
      <w:r>
        <w:t>据材料一并结合所学知识，指出</w:t>
      </w:r>
      <w:r>
        <w:rPr>
          <w:lang w:val="zh-CN" w:eastAsia="zh-CN" w:bidi="zh-CN"/>
        </w:rPr>
        <w:t>“现代</w:t>
      </w:r>
      <w:r>
        <w:t>社会挑战委员会”建立的背景及其运行</w:t>
      </w:r>
    </w:p>
    <w:p>
      <w:pPr>
        <w:pStyle w:val="12"/>
        <w:tabs>
          <w:tab w:val="left" w:pos="5932"/>
        </w:tabs>
        <w:spacing w:line="240" w:lineRule="auto"/>
        <w:ind w:firstLine="900"/>
        <w:jc w:val="both"/>
        <w:rPr>
          <w:sz w:val="20"/>
          <w:szCs w:val="20"/>
        </w:rPr>
      </w:pPr>
      <w:r>
        <w:t>特点。（7分）</w:t>
      </w:r>
      <w:r>
        <w:tab/>
      </w:r>
    </w:p>
    <w:p>
      <w:pPr>
        <w:pStyle w:val="12"/>
        <w:tabs>
          <w:tab w:val="left" w:pos="974"/>
        </w:tabs>
        <w:spacing w:line="240" w:lineRule="auto"/>
        <w:ind w:firstLine="400"/>
      </w:pPr>
      <w:bookmarkStart w:id="37" w:name="bookmark40"/>
      <w:r>
        <w:t>（</w:t>
      </w:r>
      <w:bookmarkEnd w:id="37"/>
      <w:r>
        <w:t>2）</w:t>
      </w:r>
      <w:r>
        <w:tab/>
      </w:r>
      <w:r>
        <w:t>据材料二</w:t>
      </w:r>
      <w:r>
        <w:rPr>
          <w:rFonts w:hint="eastAsia"/>
          <w:lang w:eastAsia="zh-CN"/>
        </w:rPr>
        <w:t>，</w:t>
      </w:r>
      <w:r>
        <w:t>概括</w:t>
      </w:r>
      <w:r>
        <w:rPr>
          <w:lang w:val="zh-CN" w:eastAsia="zh-CN" w:bidi="zh-CN"/>
        </w:rPr>
        <w:t>“现</w:t>
      </w:r>
      <w:r>
        <w:t>代社会挑战委员会</w:t>
      </w:r>
      <w:r>
        <w:rPr>
          <w:rFonts w:hint="eastAsia"/>
          <w:lang w:eastAsia="zh-CN"/>
        </w:rPr>
        <w:t>”</w:t>
      </w:r>
      <w:r>
        <w:t>的影响与不足。（6分）</w:t>
      </w:r>
    </w:p>
    <w:p>
      <w:pPr>
        <w:pStyle w:val="12"/>
        <w:tabs>
          <w:tab w:val="left" w:pos="974"/>
        </w:tabs>
        <w:spacing w:after="40" w:line="452" w:lineRule="exact"/>
        <w:ind w:firstLine="400"/>
        <w:jc w:val="both"/>
      </w:pPr>
      <w:bookmarkStart w:id="38" w:name="bookmark41"/>
      <w:r>
        <w:t>（</w:t>
      </w:r>
      <w:bookmarkEnd w:id="38"/>
      <w:r>
        <w:t>3）</w:t>
      </w:r>
      <w:r>
        <w:tab/>
      </w:r>
      <w:r>
        <w:t>综合上述材料，就国际合作谈谈你的认识。（2分）</w:t>
      </w:r>
    </w:p>
    <w:sectPr>
      <w:footerReference r:id="rId9" w:type="default"/>
      <w:pgSz w:w="11900" w:h="16840"/>
      <w:pgMar w:top="1123" w:right="1038" w:bottom="710" w:left="890" w:header="695"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2609215</wp:posOffset>
              </wp:positionH>
              <wp:positionV relativeFrom="page">
                <wp:posOffset>10273665</wp:posOffset>
              </wp:positionV>
              <wp:extent cx="1948180" cy="134620"/>
              <wp:effectExtent l="0" t="0" r="0" b="0"/>
              <wp:wrapNone/>
              <wp:docPr id="2" name="Shape 2"/>
              <wp:cNvGraphicFramePr/>
              <a:graphic xmlns:a="http://schemas.openxmlformats.org/drawingml/2006/main">
                <a:graphicData uri="http://schemas.microsoft.com/office/word/2010/wordprocessingShape">
                  <wps:wsp>
                    <wps:cNvSpPr txBox="1"/>
                    <wps:spPr>
                      <a:xfrm>
                        <a:off x="0" y="0"/>
                        <a:ext cx="1948180" cy="134620"/>
                      </a:xfrm>
                      <a:prstGeom prst="rect">
                        <a:avLst/>
                      </a:prstGeom>
                      <a:noFill/>
                    </wps:spPr>
                    <wps:txbx>
                      <w:txbxContent>
                        <w:p>
                          <w:pPr>
                            <w:pStyle w:val="8"/>
                            <w:rPr>
                              <w:sz w:val="24"/>
                              <w:szCs w:val="24"/>
                            </w:rPr>
                          </w:pPr>
                          <w:r>
                            <w:rPr>
                              <w:rFonts w:ascii="宋体" w:hAnsi="宋体" w:eastAsia="宋体" w:cs="宋体"/>
                              <w:sz w:val="24"/>
                              <w:szCs w:val="24"/>
                            </w:rPr>
                            <w:t>高二历史</w:t>
                          </w:r>
                          <w:r>
                            <w:rPr>
                              <w:rFonts w:hint="eastAsia" w:ascii="宋体" w:hAnsi="宋体" w:eastAsia="宋体" w:cs="宋体"/>
                              <w:sz w:val="24"/>
                              <w:szCs w:val="24"/>
                              <w:lang w:val="en-US" w:eastAsia="zh-CN"/>
                            </w:rPr>
                            <w:t xml:space="preserve">  </w:t>
                          </w:r>
                          <w:r>
                            <w:rPr>
                              <w:rFonts w:ascii="宋体" w:hAnsi="宋体" w:eastAsia="宋体" w:cs="宋体"/>
                              <w:sz w:val="24"/>
                              <w:szCs w:val="24"/>
                            </w:rPr>
                            <w:t>第1页（共6</w:t>
                          </w:r>
                          <w:r>
                            <w:rPr>
                              <w:rFonts w:hint="eastAsia" w:ascii="宋体" w:hAnsi="宋体" w:eastAsia="宋体" w:cs="宋体"/>
                              <w:sz w:val="24"/>
                              <w:szCs w:val="24"/>
                              <w:lang w:val="zh-CN" w:eastAsia="zh-CN" w:bidi="zh-CN"/>
                            </w:rPr>
                            <w:t>）</w:t>
                          </w:r>
                        </w:p>
                      </w:txbxContent>
                    </wps:txbx>
                    <wps:bodyPr wrap="none" lIns="0" tIns="0" rIns="0" bIns="0">
                      <a:spAutoFit/>
                    </wps:bodyPr>
                  </wps:wsp>
                </a:graphicData>
              </a:graphic>
            </wp:anchor>
          </w:drawing>
        </mc:Choice>
        <mc:Fallback>
          <w:pict>
            <v:shape id="Shape 2" o:spid="_x0000_s1026" o:spt="202" type="#_x0000_t202" style="position:absolute;left:0pt;margin-left:205.45pt;margin-top:808.95pt;height:10.6pt;width:153.4pt;mso-position-horizontal-relative:page;mso-position-vertical-relative:page;mso-wrap-style:none;z-index:-251656192;mso-width-relative:page;mso-height-relative:page;" filled="f" stroked="f" coordsize="21600,21600" o:gfxdata="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xcSN1wAA&#10;AA0BAAAPAAAAAAAAAAEAIAAAACIAAABkcnMvZG93bnJldi54bWxQSwECFAAUAAAACACHTuJA4ZqA&#10;gK0BAABwAwAADgAAAAAAAAABACAAAAAmAQAAZHJzL2Uyb0RvYy54bWxQSwUGAAAAAAYABgBZAQAA&#10;RQUAAAAA&#10;">
              <v:fill on="f" focussize="0,0"/>
              <v:stroke on="f"/>
              <v:imagedata o:title=""/>
              <o:lock v:ext="edit" aspectratio="f"/>
              <v:textbox inset="0mm,0mm,0mm,0mm" style="mso-fit-shape-to-text:t;">
                <w:txbxContent>
                  <w:p>
                    <w:pPr>
                      <w:pStyle w:val="8"/>
                      <w:rPr>
                        <w:sz w:val="24"/>
                        <w:szCs w:val="24"/>
                      </w:rPr>
                    </w:pPr>
                    <w:r>
                      <w:rPr>
                        <w:rFonts w:ascii="宋体" w:hAnsi="宋体" w:eastAsia="宋体" w:cs="宋体"/>
                        <w:sz w:val="24"/>
                        <w:szCs w:val="24"/>
                      </w:rPr>
                      <w:t>高二历史</w:t>
                    </w:r>
                    <w:r>
                      <w:rPr>
                        <w:rFonts w:hint="eastAsia" w:ascii="宋体" w:hAnsi="宋体" w:eastAsia="宋体" w:cs="宋体"/>
                        <w:sz w:val="24"/>
                        <w:szCs w:val="24"/>
                        <w:lang w:val="en-US" w:eastAsia="zh-CN"/>
                      </w:rPr>
                      <w:t xml:space="preserve">  </w:t>
                    </w:r>
                    <w:r>
                      <w:rPr>
                        <w:rFonts w:ascii="宋体" w:hAnsi="宋体" w:eastAsia="宋体" w:cs="宋体"/>
                        <w:sz w:val="24"/>
                        <w:szCs w:val="24"/>
                      </w:rPr>
                      <w:t>第1页（共6</w:t>
                    </w:r>
                    <w:r>
                      <w:rPr>
                        <w:rFonts w:hint="eastAsia" w:ascii="宋体" w:hAnsi="宋体" w:eastAsia="宋体" w:cs="宋体"/>
                        <w:sz w:val="24"/>
                        <w:szCs w:val="24"/>
                        <w:lang w:val="zh-CN" w:eastAsia="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2924810</wp:posOffset>
              </wp:positionH>
              <wp:positionV relativeFrom="page">
                <wp:posOffset>10102850</wp:posOffset>
              </wp:positionV>
              <wp:extent cx="1856740" cy="184785"/>
              <wp:effectExtent l="0" t="0" r="0" b="0"/>
              <wp:wrapNone/>
              <wp:docPr id="4" name="Shape 4"/>
              <wp:cNvGraphicFramePr/>
              <a:graphic xmlns:a="http://schemas.openxmlformats.org/drawingml/2006/main">
                <a:graphicData uri="http://schemas.microsoft.com/office/word/2010/wordprocessingShape">
                  <wps:wsp>
                    <wps:cNvSpPr txBox="1"/>
                    <wps:spPr>
                      <a:xfrm>
                        <a:off x="0" y="0"/>
                        <a:ext cx="1856740" cy="184785"/>
                      </a:xfrm>
                      <a:prstGeom prst="rect">
                        <a:avLst/>
                      </a:prstGeom>
                      <a:noFill/>
                    </wps:spPr>
                    <wps:txbx>
                      <w:txbxContent>
                        <w:p>
                          <w:pPr>
                            <w:pStyle w:val="8"/>
                            <w:rPr>
                              <w:sz w:val="24"/>
                              <w:szCs w:val="24"/>
                            </w:rPr>
                          </w:pPr>
                          <w:r>
                            <w:rPr>
                              <w:rFonts w:ascii="宋体" w:hAnsi="宋体" w:eastAsia="宋体" w:cs="宋体"/>
                              <w:sz w:val="24"/>
                              <w:szCs w:val="24"/>
                            </w:rPr>
                            <w:t>髙二历史</w:t>
                          </w:r>
                          <w:r>
                            <w:rPr>
                              <w:rFonts w:hint="eastAsia" w:ascii="宋体" w:hAnsi="宋体" w:eastAsia="宋体" w:cs="宋体"/>
                              <w:sz w:val="24"/>
                              <w:szCs w:val="24"/>
                              <w:lang w:val="en-US" w:eastAsia="zh-CN"/>
                            </w:rPr>
                            <w:t xml:space="preserve">  第</w:t>
                          </w:r>
                          <w:r>
                            <w:rPr>
                              <w:rFonts w:ascii="宋体" w:hAnsi="宋体" w:eastAsia="宋体" w:cs="宋体"/>
                              <w:sz w:val="24"/>
                              <w:szCs w:val="24"/>
                            </w:rPr>
                            <w:t>5页（共6页）</w:t>
                          </w:r>
                        </w:p>
                      </w:txbxContent>
                    </wps:txbx>
                    <wps:bodyPr wrap="none" lIns="0" tIns="0" rIns="0" bIns="0">
                      <a:spAutoFit/>
                    </wps:bodyPr>
                  </wps:wsp>
                </a:graphicData>
              </a:graphic>
            </wp:anchor>
          </w:drawing>
        </mc:Choice>
        <mc:Fallback>
          <w:pict>
            <v:shape id="Shape 4" o:spid="_x0000_s1026" o:spt="202" type="#_x0000_t202" style="position:absolute;left:0pt;margin-left:230.3pt;margin-top:795.5pt;height:14.55pt;width:146.2pt;mso-position-horizontal-relative:page;mso-position-vertical-relative:page;mso-wrap-style:none;z-index:-251655168;mso-width-relative:page;mso-height-relative:page;" filled="f" stroked="f" coordsize="21600,21600" o:gfxdata="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TSodgA&#10;AAANAQAADwAAAAAAAAABACAAAAAiAAAAZHJzL2Rvd25yZXYueG1sUEsBAhQAFAAAAAgAh07iQPXv&#10;TfKtAQAAcAMAAA4AAAAAAAAAAQAgAAAAJwEAAGRycy9lMm9Eb2MueG1sUEsFBgAAAAAGAAYAWQEA&#10;AEYFAAAAAA==&#10;">
              <v:fill on="f" focussize="0,0"/>
              <v:stroke on="f"/>
              <v:imagedata o:title=""/>
              <o:lock v:ext="edit" aspectratio="f"/>
              <v:textbox inset="0mm,0mm,0mm,0mm" style="mso-fit-shape-to-text:t;">
                <w:txbxContent>
                  <w:p>
                    <w:pPr>
                      <w:pStyle w:val="8"/>
                      <w:rPr>
                        <w:sz w:val="24"/>
                        <w:szCs w:val="24"/>
                      </w:rPr>
                    </w:pPr>
                    <w:r>
                      <w:rPr>
                        <w:rFonts w:ascii="宋体" w:hAnsi="宋体" w:eastAsia="宋体" w:cs="宋体"/>
                        <w:sz w:val="24"/>
                        <w:szCs w:val="24"/>
                      </w:rPr>
                      <w:t>髙二历史</w:t>
                    </w:r>
                    <w:r>
                      <w:rPr>
                        <w:rFonts w:hint="eastAsia" w:ascii="宋体" w:hAnsi="宋体" w:eastAsia="宋体" w:cs="宋体"/>
                        <w:sz w:val="24"/>
                        <w:szCs w:val="24"/>
                        <w:lang w:val="en-US" w:eastAsia="zh-CN"/>
                      </w:rPr>
                      <w:t xml:space="preserve">  第</w:t>
                    </w:r>
                    <w:r>
                      <w:rPr>
                        <w:rFonts w:ascii="宋体" w:hAnsi="宋体" w:eastAsia="宋体" w:cs="宋体"/>
                        <w:sz w:val="24"/>
                        <w:szCs w:val="24"/>
                      </w:rPr>
                      <w:t>5页（共6页）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3104515</wp:posOffset>
              </wp:positionH>
              <wp:positionV relativeFrom="page">
                <wp:posOffset>9882505</wp:posOffset>
              </wp:positionV>
              <wp:extent cx="1828800" cy="158115"/>
              <wp:effectExtent l="0" t="0" r="0" b="0"/>
              <wp:wrapNone/>
              <wp:docPr id="6" name="Shape 6"/>
              <wp:cNvGraphicFramePr/>
              <a:graphic xmlns:a="http://schemas.openxmlformats.org/drawingml/2006/main">
                <a:graphicData uri="http://schemas.microsoft.com/office/word/2010/wordprocessingShape">
                  <wps:wsp>
                    <wps:cNvSpPr txBox="1"/>
                    <wps:spPr>
                      <a:xfrm>
                        <a:off x="0" y="0"/>
                        <a:ext cx="1828800" cy="158115"/>
                      </a:xfrm>
                      <a:prstGeom prst="rect">
                        <a:avLst/>
                      </a:prstGeom>
                      <a:noFill/>
                    </wps:spPr>
                    <wps:txbx>
                      <w:txbxContent>
                        <w:p>
                          <w:pPr>
                            <w:pStyle w:val="8"/>
                            <w:rPr>
                              <w:sz w:val="24"/>
                              <w:szCs w:val="24"/>
                            </w:rPr>
                          </w:pPr>
                          <w:r>
                            <w:rPr>
                              <w:rFonts w:ascii="宋体" w:hAnsi="宋体" w:eastAsia="宋体" w:cs="宋体"/>
                              <w:sz w:val="24"/>
                              <w:szCs w:val="24"/>
                            </w:rPr>
                            <w:t>高二历史第4页（共6页）</w:t>
                          </w:r>
                        </w:p>
                      </w:txbxContent>
                    </wps:txbx>
                    <wps:bodyPr wrap="none" lIns="0" tIns="0" rIns="0" bIns="0">
                      <a:spAutoFit/>
                    </wps:bodyPr>
                  </wps:wsp>
                </a:graphicData>
              </a:graphic>
            </wp:anchor>
          </w:drawing>
        </mc:Choice>
        <mc:Fallback>
          <w:pict>
            <v:shape id="Shape 6" o:spid="_x0000_s1026" o:spt="202" type="#_x0000_t202" style="position:absolute;left:0pt;margin-left:244.45pt;margin-top:778.15pt;height:12.45pt;width:144pt;mso-position-horizontal-relative:page;mso-position-vertical-relative:page;mso-wrap-style:none;z-index:-251654144;mso-width-relative:page;mso-height-relative:page;" filled="f" stroked="f" coordsize="21600,21600" o:gfxdata="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1haCTYAAAA&#10;DQEAAA8AAAAAAAAAAQAgAAAAIgAAAGRycy9kb3ducmV2LnhtbFBLAQIUABQAAAAIAIdO4kDX+Etc&#10;qwEAAHADAAAOAAAAAAAAAAEAIAAAACcBAABkcnMvZTJvRG9jLnhtbFBLBQYAAAAABgAGAFkBAABE&#10;BQAAAAA=&#10;">
              <v:fill on="f" focussize="0,0"/>
              <v:stroke on="f"/>
              <v:imagedata o:title=""/>
              <o:lock v:ext="edit" aspectratio="f"/>
              <v:textbox inset="0mm,0mm,0mm,0mm" style="mso-fit-shape-to-text:t;">
                <w:txbxContent>
                  <w:p>
                    <w:pPr>
                      <w:pStyle w:val="8"/>
                      <w:rPr>
                        <w:sz w:val="24"/>
                        <w:szCs w:val="24"/>
                      </w:rPr>
                    </w:pPr>
                    <w:r>
                      <w:rPr>
                        <w:rFonts w:ascii="宋体" w:hAnsi="宋体" w:eastAsia="宋体" w:cs="宋体"/>
                        <w:sz w:val="24"/>
                        <w:szCs w:val="24"/>
                      </w:rPr>
                      <w:t>高二历史第4页（共6页）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2640965</wp:posOffset>
              </wp:positionH>
              <wp:positionV relativeFrom="page">
                <wp:posOffset>10331450</wp:posOffset>
              </wp:positionV>
              <wp:extent cx="1927225" cy="163830"/>
              <wp:effectExtent l="0" t="0" r="0" b="0"/>
              <wp:wrapNone/>
              <wp:docPr id="8" name="Shape 8"/>
              <wp:cNvGraphicFramePr/>
              <a:graphic xmlns:a="http://schemas.openxmlformats.org/drawingml/2006/main">
                <a:graphicData uri="http://schemas.microsoft.com/office/word/2010/wordprocessingShape">
                  <wps:wsp>
                    <wps:cNvSpPr txBox="1"/>
                    <wps:spPr>
                      <a:xfrm>
                        <a:off x="0" y="0"/>
                        <a:ext cx="1927225" cy="163830"/>
                      </a:xfrm>
                      <a:prstGeom prst="rect">
                        <a:avLst/>
                      </a:prstGeom>
                      <a:noFill/>
                    </wps:spPr>
                    <wps:txbx>
                      <w:txbxContent>
                        <w:p/>
                      </w:txbxContent>
                    </wps:txbx>
                    <wps:bodyPr wrap="none" lIns="0" tIns="0" rIns="0" bIns="0">
                      <a:spAutoFit/>
                    </wps:bodyPr>
                  </wps:wsp>
                </a:graphicData>
              </a:graphic>
            </wp:anchor>
          </w:drawing>
        </mc:Choice>
        <mc:Fallback>
          <w:pict>
            <v:shape id="Shape 8" o:spid="_x0000_s1026" o:spt="202" type="#_x0000_t202" style="position:absolute;left:0pt;margin-left:207.95pt;margin-top:813.5pt;height:12.9pt;width:151.75pt;mso-position-horizontal-relative:page;mso-position-vertical-relative:page;mso-wrap-style:none;z-index:-251653120;mso-width-relative:page;mso-height-relative:page;" filled="f" stroked="f" coordsize="21600,21600" o:gfxdata="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7XCkzY&#10;AAAADQEAAA8AAAAAAAAAAQAgAAAAIgAAAGRycy9kb3ducmV2LnhtbFBLAQIUABQAAAAIAIdO4kDY&#10;s2SLrgEAAHADAAAOAAAAAAAAAAEAIAAAACcBAABkcnMvZTJvRG9jLnhtbFBLBQYAAAAABgAGAFkB&#10;AABH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智浪教育—普惠英才文库</w:t>
    </w:r>
  </w:p>
  <w:p>
    <w:bookmarkStart w:id="39" w:name="_GoBack"/>
    <w:bookmarkEnd w:id="39"/>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0"/>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abstractNum w:abstractNumId="1">
    <w:nsid w:val="B5E306ED"/>
    <w:multiLevelType w:val="singleLevel"/>
    <w:tmpl w:val="B5E306ED"/>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0248C179"/>
    <w:multiLevelType w:val="singleLevel"/>
    <w:tmpl w:val="0248C17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03D62ECE"/>
    <w:multiLevelType w:val="singleLevel"/>
    <w:tmpl w:val="03D62ECE"/>
    <w:lvl w:ilvl="0" w:tentative="0">
      <w:start w:val="2"/>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25B654F3"/>
    <w:multiLevelType w:val="singleLevel"/>
    <w:tmpl w:val="25B654F3"/>
    <w:lvl w:ilvl="0" w:tentative="0">
      <w:start w:val="100"/>
      <w:numFmt w:val="upperRoman"/>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4B15973D"/>
    <w:multiLevelType w:val="singleLevel"/>
    <w:tmpl w:val="4B15973D"/>
    <w:lvl w:ilvl="0" w:tentative="0">
      <w:start w:val="1"/>
      <w:numFmt w:val="upperLetter"/>
      <w:lvlText w:val="%1."/>
      <w:lvlJc w:val="left"/>
      <w:pPr>
        <w:tabs>
          <w:tab w:val="left" w:pos="312"/>
        </w:tabs>
      </w:pPr>
    </w:lvl>
  </w:abstractNum>
  <w:abstractNum w:abstractNumId="8">
    <w:nsid w:val="5011F991"/>
    <w:multiLevelType w:val="singleLevel"/>
    <w:tmpl w:val="5011F991"/>
    <w:lvl w:ilvl="0" w:tentative="0">
      <w:start w:val="1"/>
      <w:numFmt w:val="upperLetter"/>
      <w:suff w:val="space"/>
      <w:lvlText w:val="%1."/>
      <w:lvlJc w:val="left"/>
    </w:lvl>
  </w:abstractNum>
  <w:abstractNum w:abstractNumId="9">
    <w:nsid w:val="72183CF9"/>
    <w:multiLevelType w:val="singleLevel"/>
    <w:tmpl w:val="72183CF9"/>
    <w:lvl w:ilvl="0" w:tentative="0">
      <w:start w:val="4"/>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3"/>
  </w:num>
  <w:num w:numId="2">
    <w:abstractNumId w:val="2"/>
  </w:num>
  <w:num w:numId="3">
    <w:abstractNumId w:val="1"/>
  </w:num>
  <w:num w:numId="4">
    <w:abstractNumId w:val="8"/>
  </w:num>
  <w:num w:numId="5">
    <w:abstractNumId w:val="5"/>
  </w:num>
  <w:num w:numId="6">
    <w:abstractNumId w:val="7"/>
  </w:num>
  <w:num w:numId="7">
    <w:abstractNumId w:val="6"/>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A7"/>
    <w:rsid w:val="00012EA7"/>
    <w:rsid w:val="00B210B3"/>
    <w:rsid w:val="0CC5658C"/>
    <w:rsid w:val="430F01E2"/>
    <w:rsid w:val="5A68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5">
    <w:name w:val="Body text|3_"/>
    <w:basedOn w:val="4"/>
    <w:link w:val="6"/>
    <w:qFormat/>
    <w:uiPriority w:val="0"/>
    <w:rPr>
      <w:rFonts w:ascii="宋体" w:hAnsi="宋体" w:eastAsia="宋体" w:cs="宋体"/>
      <w:sz w:val="38"/>
      <w:szCs w:val="38"/>
      <w:u w:val="none"/>
      <w:shd w:val="clear" w:color="auto" w:fill="auto"/>
      <w:lang w:val="zh-TW" w:eastAsia="zh-TW" w:bidi="zh-TW"/>
    </w:rPr>
  </w:style>
  <w:style w:type="paragraph" w:customStyle="1" w:styleId="6">
    <w:name w:val="Body text|3"/>
    <w:basedOn w:val="1"/>
    <w:link w:val="5"/>
    <w:qFormat/>
    <w:uiPriority w:val="0"/>
    <w:pPr>
      <w:spacing w:before="260" w:after="300"/>
      <w:jc w:val="center"/>
    </w:pPr>
    <w:rPr>
      <w:rFonts w:ascii="宋体" w:hAnsi="宋体" w:eastAsia="宋体" w:cs="宋体"/>
      <w:sz w:val="38"/>
      <w:szCs w:val="38"/>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rPr>
      <w:sz w:val="20"/>
      <w:szCs w:val="20"/>
      <w:lang w:val="zh-TW" w:eastAsia="zh-TW" w:bidi="zh-TW"/>
    </w:rPr>
  </w:style>
  <w:style w:type="character" w:customStyle="1" w:styleId="9">
    <w:name w:val="Heading #1|1_"/>
    <w:basedOn w:val="4"/>
    <w:link w:val="10"/>
    <w:qFormat/>
    <w:uiPriority w:val="0"/>
    <w:rPr>
      <w:rFonts w:ascii="宋体" w:hAnsi="宋体" w:eastAsia="宋体" w:cs="宋体"/>
      <w:sz w:val="46"/>
      <w:szCs w:val="46"/>
      <w:u w:val="none"/>
      <w:shd w:val="clear" w:color="auto" w:fill="auto"/>
      <w:lang w:val="zh-TW" w:eastAsia="zh-TW" w:bidi="zh-TW"/>
    </w:rPr>
  </w:style>
  <w:style w:type="paragraph" w:customStyle="1" w:styleId="10">
    <w:name w:val="Heading #1|1"/>
    <w:basedOn w:val="1"/>
    <w:link w:val="9"/>
    <w:qFormat/>
    <w:uiPriority w:val="0"/>
    <w:pPr>
      <w:spacing w:after="460"/>
      <w:jc w:val="center"/>
      <w:outlineLvl w:val="0"/>
    </w:pPr>
    <w:rPr>
      <w:rFonts w:ascii="宋体" w:hAnsi="宋体" w:eastAsia="宋体" w:cs="宋体"/>
      <w:sz w:val="46"/>
      <w:szCs w:val="46"/>
      <w:lang w:val="zh-TW" w:eastAsia="zh-TW" w:bidi="zh-TW"/>
    </w:rPr>
  </w:style>
  <w:style w:type="character" w:customStyle="1" w:styleId="11">
    <w:name w:val="Body text|1_"/>
    <w:basedOn w:val="4"/>
    <w:link w:val="12"/>
    <w:qFormat/>
    <w:uiPriority w:val="0"/>
    <w:rPr>
      <w:rFonts w:ascii="宋体" w:hAnsi="宋体" w:eastAsia="宋体" w:cs="宋体"/>
      <w:u w:val="none"/>
      <w:shd w:val="clear" w:color="auto" w:fill="auto"/>
      <w:lang w:val="zh-TW" w:eastAsia="zh-TW" w:bidi="zh-TW"/>
    </w:rPr>
  </w:style>
  <w:style w:type="paragraph" w:customStyle="1" w:styleId="12">
    <w:name w:val="Body text|1"/>
    <w:basedOn w:val="1"/>
    <w:link w:val="11"/>
    <w:qFormat/>
    <w:uiPriority w:val="0"/>
    <w:pPr>
      <w:spacing w:line="394" w:lineRule="auto"/>
      <w:ind w:firstLine="180"/>
    </w:pPr>
    <w:rPr>
      <w:rFonts w:ascii="宋体" w:hAnsi="宋体" w:eastAsia="宋体" w:cs="宋体"/>
      <w:lang w:val="zh-TW" w:eastAsia="zh-TW" w:bidi="zh-TW"/>
    </w:rPr>
  </w:style>
  <w:style w:type="character" w:customStyle="1" w:styleId="13">
    <w:name w:val="Picture caption|1_"/>
    <w:basedOn w:val="4"/>
    <w:link w:val="14"/>
    <w:qFormat/>
    <w:uiPriority w:val="0"/>
    <w:rPr>
      <w:rFonts w:ascii="宋体" w:hAnsi="宋体" w:eastAsia="宋体" w:cs="宋体"/>
      <w:u w:val="none"/>
      <w:shd w:val="clear" w:color="auto" w:fill="auto"/>
      <w:lang w:val="zh-TW" w:eastAsia="zh-TW" w:bidi="zh-TW"/>
    </w:rPr>
  </w:style>
  <w:style w:type="paragraph" w:customStyle="1" w:styleId="14">
    <w:name w:val="Picture caption|1"/>
    <w:basedOn w:val="1"/>
    <w:link w:val="13"/>
    <w:qFormat/>
    <w:uiPriority w:val="0"/>
    <w:pPr>
      <w:spacing w:line="447" w:lineRule="exact"/>
    </w:pPr>
    <w:rPr>
      <w:rFonts w:ascii="宋体" w:hAnsi="宋体" w:eastAsia="宋体" w:cs="宋体"/>
      <w:lang w:val="zh-TW" w:eastAsia="zh-TW" w:bidi="zh-TW"/>
    </w:rPr>
  </w:style>
  <w:style w:type="character" w:customStyle="1" w:styleId="15">
    <w:name w:val="Body text|4_"/>
    <w:basedOn w:val="4"/>
    <w:link w:val="16"/>
    <w:qFormat/>
    <w:uiPriority w:val="0"/>
    <w:rPr>
      <w:rFonts w:ascii="宋体" w:hAnsi="宋体" w:eastAsia="宋体" w:cs="宋体"/>
      <w:color w:val="85736E"/>
      <w:sz w:val="10"/>
      <w:szCs w:val="10"/>
      <w:u w:val="none"/>
      <w:shd w:val="clear" w:color="auto" w:fill="auto"/>
      <w:lang w:val="zh-TW" w:eastAsia="zh-TW" w:bidi="zh-TW"/>
    </w:rPr>
  </w:style>
  <w:style w:type="paragraph" w:customStyle="1" w:styleId="16">
    <w:name w:val="Body text|4"/>
    <w:basedOn w:val="1"/>
    <w:link w:val="15"/>
    <w:qFormat/>
    <w:uiPriority w:val="0"/>
    <w:pPr>
      <w:ind w:right="900"/>
      <w:jc w:val="right"/>
    </w:pPr>
    <w:rPr>
      <w:rFonts w:ascii="宋体" w:hAnsi="宋体" w:eastAsia="宋体" w:cs="宋体"/>
      <w:color w:val="85736E"/>
      <w:sz w:val="10"/>
      <w:szCs w:val="10"/>
      <w:lang w:val="zh-TW" w:eastAsia="zh-TW" w:bidi="zh-TW"/>
    </w:rPr>
  </w:style>
  <w:style w:type="character" w:customStyle="1" w:styleId="17">
    <w:name w:val="Body text|5_"/>
    <w:basedOn w:val="4"/>
    <w:link w:val="18"/>
    <w:qFormat/>
    <w:uiPriority w:val="0"/>
    <w:rPr>
      <w:i/>
      <w:iCs/>
      <w:sz w:val="10"/>
      <w:szCs w:val="10"/>
      <w:u w:val="none"/>
      <w:shd w:val="clear" w:color="auto" w:fill="auto"/>
      <w:lang w:val="zh-TW" w:eastAsia="zh-TW" w:bidi="zh-TW"/>
    </w:rPr>
  </w:style>
  <w:style w:type="paragraph" w:customStyle="1" w:styleId="18">
    <w:name w:val="Body text|5"/>
    <w:basedOn w:val="1"/>
    <w:link w:val="17"/>
    <w:qFormat/>
    <w:uiPriority w:val="0"/>
    <w:pPr>
      <w:spacing w:after="720" w:line="226" w:lineRule="auto"/>
      <w:ind w:left="1720"/>
    </w:pPr>
    <w:rPr>
      <w:i/>
      <w:iCs/>
      <w:sz w:val="10"/>
      <w:szCs w:val="10"/>
      <w:lang w:val="zh-TW" w:eastAsia="zh-TW" w:bidi="zh-TW"/>
    </w:rPr>
  </w:style>
  <w:style w:type="character" w:customStyle="1" w:styleId="19">
    <w:name w:val="Table caption|1_"/>
    <w:basedOn w:val="4"/>
    <w:link w:val="20"/>
    <w:qFormat/>
    <w:uiPriority w:val="0"/>
    <w:rPr>
      <w:rFonts w:ascii="宋体" w:hAnsi="宋体" w:eastAsia="宋体" w:cs="宋体"/>
      <w:u w:val="none"/>
      <w:shd w:val="clear" w:color="auto" w:fill="auto"/>
      <w:lang w:val="zh-TW" w:eastAsia="zh-TW" w:bidi="zh-TW"/>
    </w:rPr>
  </w:style>
  <w:style w:type="paragraph" w:customStyle="1" w:styleId="20">
    <w:name w:val="Table caption|1"/>
    <w:basedOn w:val="1"/>
    <w:link w:val="19"/>
    <w:uiPriority w:val="0"/>
    <w:pPr>
      <w:jc w:val="center"/>
    </w:pPr>
    <w:rPr>
      <w:rFonts w:ascii="宋体" w:hAnsi="宋体" w:eastAsia="宋体" w:cs="宋体"/>
      <w:lang w:val="zh-TW" w:eastAsia="zh-TW" w:bidi="zh-TW"/>
    </w:rPr>
  </w:style>
  <w:style w:type="character" w:customStyle="1" w:styleId="21">
    <w:name w:val="Other|1_"/>
    <w:basedOn w:val="4"/>
    <w:link w:val="22"/>
    <w:qFormat/>
    <w:uiPriority w:val="0"/>
    <w:rPr>
      <w:rFonts w:ascii="宋体" w:hAnsi="宋体" w:eastAsia="宋体" w:cs="宋体"/>
      <w:u w:val="none"/>
      <w:shd w:val="clear" w:color="auto" w:fill="auto"/>
      <w:lang w:val="zh-TW" w:eastAsia="zh-TW" w:bidi="zh-TW"/>
    </w:rPr>
  </w:style>
  <w:style w:type="paragraph" w:customStyle="1" w:styleId="22">
    <w:name w:val="Other|1"/>
    <w:basedOn w:val="1"/>
    <w:link w:val="21"/>
    <w:qFormat/>
    <w:uiPriority w:val="0"/>
    <w:pPr>
      <w:spacing w:line="394" w:lineRule="auto"/>
      <w:ind w:firstLine="180"/>
    </w:pPr>
    <w:rPr>
      <w:rFonts w:ascii="宋体" w:hAnsi="宋体" w:eastAsia="宋体" w:cs="宋体"/>
      <w:lang w:val="zh-TW" w:eastAsia="zh-TW" w:bidi="zh-TW"/>
    </w:rPr>
  </w:style>
  <w:style w:type="character" w:customStyle="1" w:styleId="23">
    <w:name w:val="Body text|2_"/>
    <w:basedOn w:val="4"/>
    <w:link w:val="24"/>
    <w:uiPriority w:val="0"/>
    <w:rPr>
      <w:rFonts w:ascii="宋体" w:hAnsi="宋体" w:eastAsia="宋体" w:cs="宋体"/>
      <w:color w:val="AD9C97"/>
      <w:sz w:val="13"/>
      <w:szCs w:val="13"/>
      <w:u w:val="none"/>
      <w:shd w:val="clear" w:color="auto" w:fill="auto"/>
      <w:lang w:val="zh-TW" w:eastAsia="zh-TW" w:bidi="zh-TW"/>
    </w:rPr>
  </w:style>
  <w:style w:type="paragraph" w:customStyle="1" w:styleId="24">
    <w:name w:val="Body text|2"/>
    <w:basedOn w:val="1"/>
    <w:link w:val="23"/>
    <w:qFormat/>
    <w:uiPriority w:val="0"/>
    <w:pPr>
      <w:ind w:right="160"/>
      <w:jc w:val="right"/>
    </w:pPr>
    <w:rPr>
      <w:rFonts w:ascii="宋体" w:hAnsi="宋体" w:eastAsia="宋体" w:cs="宋体"/>
      <w:color w:val="AD9C97"/>
      <w:sz w:val="13"/>
      <w:szCs w:val="13"/>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783</Words>
  <Characters>4464</Characters>
  <Lines>37</Lines>
  <Paragraphs>10</Paragraphs>
  <TotalTime>0</TotalTime>
  <ScaleCrop>false</ScaleCrop>
  <LinksUpToDate>false</LinksUpToDate>
  <CharactersWithSpaces>5237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2021-06-26T05:53:00Z</dcterms:created>
  <dc:creator>rbm.xkw.com</dc:creator>
  <cp:lastModifiedBy>zhanghoufu</cp:lastModifiedBy>
  <dcterms:modified xsi:type="dcterms:W3CDTF">2021-10-18T04:11:50Z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1B957A1731DE47E3B0CDC847B29FF108</vt:lpwstr>
  </property>
</Properties>
</file>