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color w:val="000000"/>
        </w:rPr>
      </w:pPr>
      <w:bookmarkStart w:id="0" w:name="_GoBack"/>
      <w:bookmarkEnd w:id="0"/>
      <w:r>
        <w:rPr>
          <w:color w:val="000000"/>
        </w:rPr>
        <w:t>1</w:t>
      </w:r>
      <w:r>
        <w:rPr>
          <w:color w:val="000000"/>
          <w:szCs w:val="21"/>
        </w:rPr>
        <w:t>．</w:t>
      </w:r>
      <w:r>
        <w:rPr>
          <w:color w:val="000000"/>
        </w:rPr>
        <w:t>下列自然现象的过程一定</w:t>
      </w:r>
      <w:r>
        <w:rPr>
          <w:rFonts w:hint="eastAsia"/>
          <w:color w:val="000000"/>
        </w:rPr>
        <w:t>为</w:t>
      </w:r>
      <w:r>
        <w:rPr>
          <w:color w:val="000000"/>
        </w:rPr>
        <w:t>化学变化的</w:t>
      </w:r>
      <w:r>
        <w:rPr>
          <w:rFonts w:hint="eastAsia"/>
          <w:color w:val="000000"/>
        </w:rPr>
        <w:t>是</w:t>
      </w:r>
    </w:p>
    <w:p>
      <w:pPr>
        <w:snapToGrid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A．温室效应 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云</w:t>
      </w:r>
      <w:r>
        <w:rPr>
          <w:rFonts w:hint="eastAsia"/>
          <w:color w:val="000000"/>
        </w:rPr>
        <w:t>雾消失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color w:val="000000"/>
        </w:rPr>
        <w:t xml:space="preserve">冰川融化  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color w:val="000000"/>
        </w:rPr>
        <w:t>形成酸雨</w:t>
      </w:r>
    </w:p>
    <w:p>
      <w:pPr>
        <w:spacing w:line="360" w:lineRule="exact"/>
        <w:rPr>
          <w:color w:val="000000"/>
        </w:rPr>
      </w:pPr>
      <w:r>
        <w:rPr>
          <w:color w:val="000000"/>
        </w:rPr>
        <w:t>2．</w:t>
      </w:r>
      <w:r>
        <w:rPr>
          <w:rFonts w:hint="eastAsia"/>
          <w:color w:val="000000"/>
        </w:rPr>
        <w:t>金星大气层存在一种二氧化三碳的气体（C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），则C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  <w:szCs w:val="21"/>
          <w:em w:val="dot"/>
        </w:rPr>
        <w:t>不属于</w:t>
      </w:r>
    </w:p>
    <w:p>
      <w:pPr>
        <w:spacing w:line="360" w:lineRule="exact"/>
        <w:ind w:firstLine="178" w:firstLineChars="85"/>
        <w:rPr>
          <w:color w:val="000000"/>
        </w:rPr>
      </w:pPr>
      <w:r>
        <w:rPr>
          <w:rFonts w:hint="eastAsia"/>
          <w:color w:val="000000"/>
        </w:rPr>
        <w:t xml:space="preserve"> A．混合物         B．纯净物          C．化合物            D．氧化物</w:t>
      </w:r>
    </w:p>
    <w:p>
      <w:pPr>
        <w:spacing w:line="4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110．下列知识归纳有</w:t>
      </w:r>
      <w:r>
        <w:rPr>
          <w:rFonts w:hint="eastAsia"/>
          <w:color w:val="000000"/>
          <w:em w:val="dot"/>
        </w:rPr>
        <w:t>错误</w:t>
      </w:r>
      <w:r>
        <w:rPr>
          <w:rFonts w:hint="eastAsia"/>
          <w:color w:val="000000"/>
        </w:rPr>
        <w:t>的一组是</w:t>
      </w:r>
    </w:p>
    <w:tbl>
      <w:tblPr>
        <w:tblStyle w:val="5"/>
        <w:tblW w:w="827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55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A．物质组成</w:t>
            </w:r>
          </w:p>
        </w:tc>
        <w:tc>
          <w:tcPr>
            <w:tcW w:w="371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B．化学与生活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554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Cs w:val="21"/>
                <w:vertAlign w:val="subscript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●苏打、纯碱-----化学式都是</w:t>
            </w:r>
            <w:r>
              <w:rPr>
                <w:color w:val="000000"/>
                <w:szCs w:val="21"/>
              </w:rPr>
              <w:t>Na</w:t>
            </w:r>
            <w:r>
              <w:rPr>
                <w:color w:val="000000"/>
                <w:szCs w:val="21"/>
                <w:vertAlign w:val="subscript"/>
              </w:rPr>
              <w:t>2</w:t>
            </w:r>
            <w:r>
              <w:rPr>
                <w:color w:val="000000"/>
                <w:szCs w:val="21"/>
              </w:rPr>
              <w:t>CO</w:t>
            </w:r>
            <w:r>
              <w:rPr>
                <w:color w:val="000000"/>
                <w:szCs w:val="21"/>
                <w:vertAlign w:val="subscript"/>
              </w:rPr>
              <w:t>3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●蔗糖、葡萄糖、淀粉----都属于糖类物质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  <w:r>
              <w:rPr>
                <w:rFonts w:hint="eastAsia"/>
                <w:color w:val="000000"/>
                <w:szCs w:val="21"/>
              </w:rPr>
              <w:t>酒精、汽油、液化气——是易燃物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●油锅着火、电器着火——用水浇灭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4554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C．物质与变化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D．食品与健康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554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●煤的干馏、汽油燃烧——是化学变化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  <w:r>
              <w:rPr>
                <w:rFonts w:hint="eastAsia" w:hAnsi="宋体"/>
                <w:color w:val="000000"/>
                <w:szCs w:val="21"/>
              </w:rPr>
              <w:t>碳铵与草木灰</w:t>
            </w:r>
            <w:r>
              <w:rPr>
                <w:rFonts w:hAnsi="宋体"/>
                <w:color w:val="000000"/>
                <w:szCs w:val="21"/>
              </w:rPr>
              <w:t>混</w:t>
            </w:r>
            <w:r>
              <w:rPr>
                <w:rFonts w:hint="eastAsia" w:hAnsi="宋体"/>
                <w:color w:val="000000"/>
                <w:szCs w:val="21"/>
              </w:rPr>
              <w:t>用——</w:t>
            </w:r>
            <w:r>
              <w:rPr>
                <w:rFonts w:hint="eastAsia"/>
                <w:color w:val="000000"/>
                <w:szCs w:val="21"/>
              </w:rPr>
              <w:t>产生氨气而降低肥效</w:t>
            </w:r>
          </w:p>
        </w:tc>
        <w:tc>
          <w:tcPr>
            <w:tcW w:w="3719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  <w:r>
              <w:rPr>
                <w:rFonts w:hint="eastAsia"/>
                <w:color w:val="000000"/>
                <w:szCs w:val="21"/>
              </w:rPr>
              <w:t>重金属中毒——喝鸡蛋清解毒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  <w:r>
              <w:rPr>
                <w:rFonts w:hint="eastAsia"/>
                <w:color w:val="000000"/>
                <w:szCs w:val="21"/>
              </w:rPr>
              <w:t>人体缺碘——多吃海带、紫菜、海鲜</w:t>
            </w:r>
          </w:p>
        </w:tc>
      </w:tr>
    </w:tbl>
    <w:p>
      <w:pPr>
        <w:spacing w:line="500" w:lineRule="exact"/>
        <w:ind w:firstLine="360"/>
        <w:rPr>
          <w:rFonts w:hint="eastAsia"/>
          <w:color w:val="000000"/>
        </w:rPr>
      </w:pPr>
      <w:r>
        <w:pict>
          <v:shape id="_x0000_s1026" o:spid="_x0000_s1026" o:spt="75" type="#_x0000_t75" style="position:absolute;left:0pt;margin-left:252pt;margin-top:11pt;height:48.55pt;width:14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Flash.Movie" ShapeID="_x0000_s1026" DrawAspect="Content" ObjectID="_1468075725" r:id="rId5">
            <o:LockedField>false</o:LockedField>
          </o:OLEObject>
        </w:pict>
      </w:r>
      <w:r>
        <w:rPr>
          <w:rFonts w:hint="eastAsia"/>
          <w:color w:val="000000"/>
        </w:rPr>
        <w:t>18．（5分）回答下列生活中的一些问题：</w:t>
      </w:r>
    </w:p>
    <w:p>
      <w:pPr>
        <w:spacing w:line="500" w:lineRule="exact"/>
        <w:ind w:firstLine="360"/>
        <w:rPr>
          <w:rFonts w:hint="eastAsia"/>
          <w:color w:val="000000"/>
        </w:rPr>
      </w:pPr>
      <w:r>
        <w:rPr>
          <w:rFonts w:hint="eastAsia"/>
          <w:color w:val="000000"/>
        </w:rPr>
        <w:t>（1）右图是家庭中一些常见物质的pH。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要减轻被蚂蚁叮咬后（向人体注入了甲酸）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出现的皮肤搔痒、红肿症状，最适宜涂抹上表中的物质</w:t>
      </w:r>
      <w:r>
        <w:rPr>
          <w:rFonts w:hint="eastAsia"/>
          <w:color w:val="000000"/>
          <w:u w:val="single"/>
        </w:rPr>
        <w:t xml:space="preserve">               </w:t>
      </w:r>
      <w:r>
        <w:rPr>
          <w:rFonts w:hint="eastAsia"/>
          <w:color w:val="000000"/>
        </w:rPr>
        <w:t>（写名称）。</w:t>
      </w:r>
    </w:p>
    <w:p>
      <w:pPr>
        <w:spacing w:line="500" w:lineRule="exact"/>
        <w:ind w:firstLine="359" w:firstLineChars="171"/>
        <w:rPr>
          <w:rFonts w:hint="eastAsia"/>
          <w:color w:val="000000"/>
        </w:rPr>
      </w:pPr>
      <w:r>
        <w:rPr>
          <w:rFonts w:hint="eastAsia"/>
          <w:color w:val="000000"/>
        </w:rPr>
        <w:t>（2）熏醋可杀死房屋空气中的感冒病毒，熏蒸时很远就会闻到食醋的气味，从分子的观点解释该现象是</w:t>
      </w:r>
      <w:r>
        <w:rPr>
          <w:rFonts w:hint="eastAsia"/>
          <w:color w:val="000000"/>
          <w:u w:val="single"/>
        </w:rPr>
        <w:t xml:space="preserve">                                                          </w:t>
      </w:r>
      <w:r>
        <w:rPr>
          <w:rFonts w:hint="eastAsia"/>
          <w:color w:val="000000"/>
        </w:rPr>
        <w:t>。</w:t>
      </w:r>
    </w:p>
    <w:p>
      <w:pPr>
        <w:spacing w:line="500" w:lineRule="exact"/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（3）小苏打（化学式为NaHCO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）可以中和发酵面团中的有机酸，这说明小苏打溶于水显</w:t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（填：“酸性”、“碱性”）；面团中没有反应的小苏打受热会分解为苏打、水和二氧化碳，其反应方程式为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</w:t>
      </w:r>
      <w:r>
        <w:rPr>
          <w:rFonts w:hint="eastAsia"/>
          <w:color w:val="000000"/>
          <w:szCs w:val="21"/>
        </w:rPr>
        <w:t>。</w:t>
      </w:r>
    </w:p>
    <w:p>
      <w:pPr>
        <w:adjustRightInd w:val="0"/>
        <w:snapToGrid w:val="0"/>
        <w:spacing w:line="300" w:lineRule="atLeast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．已知下列物质的名称分别是</w:t>
      </w:r>
    </w:p>
    <w:tbl>
      <w:tblPr>
        <w:tblStyle w:val="5"/>
        <w:tblW w:w="5280" w:type="dxa"/>
        <w:tblInd w:w="1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66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26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硫代硫酸钠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多硫化钙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过氧化钡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超氧化钾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化学式</w:t>
            </w:r>
          </w:p>
        </w:tc>
        <w:tc>
          <w:tcPr>
            <w:tcW w:w="126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S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CaS</w:t>
            </w:r>
            <w:r>
              <w:rPr>
                <w:i/>
                <w:szCs w:val="21"/>
                <w:vertAlign w:val="subscript"/>
              </w:rPr>
              <w:t>x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BaO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KO</w:t>
            </w:r>
            <w:r>
              <w:rPr>
                <w:szCs w:val="21"/>
                <w:vertAlign w:val="subscript"/>
              </w:rPr>
              <w:t>2</w:t>
            </w:r>
          </w:p>
        </w:tc>
      </w:tr>
    </w:tbl>
    <w:p>
      <w:pPr>
        <w:adjustRightInd w:val="0"/>
        <w:snapToGrid w:val="0"/>
        <w:spacing w:line="300" w:lineRule="atLeast"/>
        <w:ind w:firstLine="210" w:firstLineChars="100"/>
        <w:rPr>
          <w:szCs w:val="21"/>
        </w:rPr>
      </w:pPr>
      <w:r>
        <w:rPr>
          <w:rFonts w:hint="eastAsia" w:hAnsi="宋体"/>
          <w:szCs w:val="21"/>
        </w:rPr>
        <w:t>根据</w:t>
      </w:r>
      <w:r>
        <w:rPr>
          <w:rFonts w:hAnsi="宋体"/>
          <w:szCs w:val="21"/>
        </w:rPr>
        <w:t>上述命名规律回答：</w:t>
      </w:r>
      <w:r>
        <w:rPr>
          <w:szCs w:val="21"/>
        </w:rPr>
        <w:t>K</w:t>
      </w:r>
      <w:r>
        <w:rPr>
          <w:szCs w:val="21"/>
          <w:vertAlign w:val="subscript"/>
        </w:rPr>
        <w:t>2</w:t>
      </w:r>
      <w:r>
        <w:rPr>
          <w:szCs w:val="21"/>
        </w:rPr>
        <w:t>CS</w:t>
      </w:r>
      <w:r>
        <w:rPr>
          <w:szCs w:val="21"/>
          <w:vertAlign w:val="subscript"/>
        </w:rPr>
        <w:t>3</w:t>
      </w:r>
      <w:r>
        <w:rPr>
          <w:rFonts w:hAnsi="宋体"/>
          <w:szCs w:val="21"/>
        </w:rPr>
        <w:t>应命名为</w:t>
      </w:r>
      <w:r>
        <w:rPr>
          <w:rFonts w:hint="eastAsia" w:hAnsi="宋体"/>
          <w:szCs w:val="21"/>
        </w:rPr>
        <w:t>　                   (       )</w:t>
      </w:r>
    </w:p>
    <w:p>
      <w:pPr>
        <w:adjustRightInd w:val="0"/>
        <w:snapToGrid w:val="0"/>
        <w:spacing w:line="300" w:lineRule="atLeast"/>
        <w:ind w:firstLine="315" w:firstLineChars="15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．三硫代碳酸钾</w:t>
      </w:r>
      <w:r>
        <w:rPr>
          <w:szCs w:val="21"/>
        </w:rPr>
        <w:t xml:space="preserve">  B</w:t>
      </w:r>
      <w:r>
        <w:rPr>
          <w:rFonts w:hAnsi="宋体"/>
          <w:szCs w:val="21"/>
        </w:rPr>
        <w:t>．多硫碳酸钾</w:t>
      </w:r>
      <w:r>
        <w:rPr>
          <w:szCs w:val="21"/>
        </w:rPr>
        <w:t xml:space="preserve">    C</w:t>
      </w:r>
      <w:r>
        <w:rPr>
          <w:rFonts w:hAnsi="宋体"/>
          <w:szCs w:val="21"/>
        </w:rPr>
        <w:t>．过硫碳酸钾</w:t>
      </w:r>
      <w:r>
        <w:rPr>
          <w:szCs w:val="21"/>
        </w:rPr>
        <w:t xml:space="preserve">  D</w:t>
      </w:r>
      <w:r>
        <w:rPr>
          <w:rFonts w:hAnsi="宋体"/>
          <w:szCs w:val="21"/>
        </w:rPr>
        <w:t>．超硫碳酸钾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288" w:lineRule="auto"/>
        <w:ind w:left="277" w:hanging="277" w:hangingChars="132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496570</wp:posOffset>
            </wp:positionV>
            <wp:extent cx="1085850" cy="1133475"/>
            <wp:effectExtent l="0" t="0" r="0" b="9525"/>
            <wp:wrapSquare wrapText="bothSides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10．</w:t>
      </w:r>
      <w:r>
        <w:rPr>
          <w:rFonts w:ascii="宋体" w:hAnsi="宋体"/>
          <w:szCs w:val="21"/>
        </w:rPr>
        <w:t>如</w:t>
      </w:r>
      <w:r>
        <w:rPr>
          <w:rFonts w:hint="eastAsia" w:ascii="宋体" w:hAnsi="宋体"/>
          <w:szCs w:val="21"/>
        </w:rPr>
        <w:t>右</w:t>
      </w:r>
      <w:r>
        <w:rPr>
          <w:rFonts w:ascii="宋体" w:hAnsi="宋体"/>
          <w:szCs w:val="21"/>
        </w:rPr>
        <w:t>图所示的甲、乙两个装置中，胶头滴管中吸入某种液体，平底烧瓶中充入(或放入)另一种物质，挤压胶头滴管加入液体，一段时间后两装置中的气球都明显胀大(忽略液体</w:t>
      </w:r>
      <w:r>
        <w:rPr>
          <w:rFonts w:hAnsi="宋体"/>
          <w:szCs w:val="21"/>
        </w:rPr>
        <w:t>体积对气球</w:t>
      </w:r>
      <w:r>
        <w:rPr>
          <w:rFonts w:hint="eastAsia" w:hAnsi="宋体"/>
          <w:szCs w:val="21"/>
        </w:rPr>
        <w:t>体积</w:t>
      </w:r>
      <w:r>
        <w:rPr>
          <w:rFonts w:hAnsi="宋体"/>
          <w:szCs w:val="21"/>
        </w:rPr>
        <w:t>的影响</w:t>
      </w:r>
      <w:r>
        <w:rPr>
          <w:szCs w:val="21"/>
        </w:rPr>
        <w:t>)</w:t>
      </w:r>
      <w:r>
        <w:rPr>
          <w:rFonts w:hAnsi="宋体"/>
          <w:szCs w:val="21"/>
        </w:rPr>
        <w:t>。则滴管和烧瓶中所用试剂可能是</w:t>
      </w:r>
      <w:r>
        <w:rPr>
          <w:szCs w:val="21"/>
        </w:rPr>
        <w:t xml:space="preserve">                </w:t>
      </w:r>
      <w:r>
        <w:rPr>
          <w:rFonts w:hAnsi="宋体"/>
          <w:szCs w:val="21"/>
        </w:rPr>
        <w:t>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）</w:t>
      </w:r>
    </w:p>
    <w:tbl>
      <w:tblPr>
        <w:tblStyle w:val="5"/>
        <w:tblpPr w:leftFromText="180" w:rightFromText="180" w:vertAnchor="text" w:horzAnchor="page" w:tblpX="2233" w:tblpY="80"/>
        <w:tblW w:w="4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2188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</w:p>
        </w:tc>
        <w:tc>
          <w:tcPr>
            <w:tcW w:w="218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甲</w:t>
            </w:r>
          </w:p>
        </w:tc>
        <w:tc>
          <w:tcPr>
            <w:tcW w:w="1879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218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稀硫酸和铜片</w:t>
            </w:r>
          </w:p>
        </w:tc>
        <w:tc>
          <w:tcPr>
            <w:tcW w:w="1879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水和</w:t>
            </w:r>
            <w:r>
              <w:rPr>
                <w:szCs w:val="21"/>
              </w:rPr>
              <w:t xml:space="preserve"> CO</w:t>
            </w:r>
            <w:r>
              <w:rPr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218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双氧水和</w:t>
            </w:r>
            <w:r>
              <w:rPr>
                <w:szCs w:val="21"/>
              </w:rPr>
              <w:t>MnO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1879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NaOH</w:t>
            </w:r>
            <w:r>
              <w:rPr>
                <w:rFonts w:hAnsi="宋体"/>
                <w:szCs w:val="21"/>
              </w:rPr>
              <w:t>溶液和</w:t>
            </w: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218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Na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rFonts w:hAnsi="宋体"/>
                <w:szCs w:val="21"/>
              </w:rPr>
              <w:t>溶液和稀硫酸</w:t>
            </w:r>
          </w:p>
        </w:tc>
        <w:tc>
          <w:tcPr>
            <w:tcW w:w="1879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NaOH</w:t>
            </w:r>
            <w:r>
              <w:rPr>
                <w:rFonts w:hAnsi="宋体"/>
                <w:szCs w:val="21"/>
              </w:rPr>
              <w:t>溶液和</w:t>
            </w:r>
            <w:r>
              <w:rPr>
                <w:szCs w:val="21"/>
              </w:rPr>
              <w:t>SO</w:t>
            </w:r>
            <w:r>
              <w:rPr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2188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bCs/>
                <w:szCs w:val="21"/>
              </w:rPr>
              <w:t>H</w:t>
            </w:r>
            <w:r>
              <w:rPr>
                <w:bCs/>
                <w:szCs w:val="21"/>
                <w:vertAlign w:val="subscript"/>
              </w:rPr>
              <w:t>2</w:t>
            </w:r>
            <w:r>
              <w:rPr>
                <w:bCs/>
                <w:szCs w:val="21"/>
              </w:rPr>
              <w:t>O</w:t>
            </w:r>
            <w:r>
              <w:rPr>
                <w:rFonts w:hAnsi="宋体"/>
                <w:bCs/>
                <w:szCs w:val="21"/>
              </w:rPr>
              <w:t>和</w:t>
            </w:r>
            <w:r>
              <w:rPr>
                <w:bCs/>
                <w:szCs w:val="21"/>
              </w:rPr>
              <w:t>NH</w:t>
            </w:r>
            <w:r>
              <w:rPr>
                <w:bCs/>
                <w:szCs w:val="21"/>
                <w:vertAlign w:val="subscript"/>
              </w:rPr>
              <w:t>3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79" w:type="dxa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djustRightInd w:val="0"/>
              <w:snapToGrid w:val="0"/>
              <w:spacing w:line="288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硝酸银溶液和</w:t>
            </w:r>
            <w:r>
              <w:rPr>
                <w:bCs/>
                <w:szCs w:val="21"/>
              </w:rPr>
              <w:t>HCl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10.下列保存物质的方法及其原因不正确的是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  烧碱应密封保存，是因为它易吸收空气中的水分和二氧化碳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B.浓盐酸应密封保存，是因为它易挥发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C.白磷应保存在水中，是因为它易自燃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D.铵态氮肥应与碱性物质混合使用，是因为能增强肥效。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11.下列对一些事实解释不正确的是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A.把铅加入锡中制成合金焊锡，主要目的是降低熔点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B.用清洗剂除去油污，是因为清洗剂能将油污溶解形成溶液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C.墙内开花墙外香，是因为分子是不断运动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D.盐酸、硫酸都能使石蕊溶液变红，是因为溶液中都含有氢离子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1D"/>
    <w:rsid w:val="003574B8"/>
    <w:rsid w:val="00373EA5"/>
    <w:rsid w:val="00373F83"/>
    <w:rsid w:val="009C0D1D"/>
    <w:rsid w:val="009E0404"/>
    <w:rsid w:val="00B13AC8"/>
    <w:rsid w:val="5D3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2012-11-24T14:02:00Z</dcterms:created>
  <dcterms:modified xsi:type="dcterms:W3CDTF">2017-08-07T04:08:35Z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